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FFB87">
      <w:pPr>
        <w:pStyle w:val="2"/>
        <w:spacing w:before="0" w:after="0" w:line="240" w:lineRule="auto"/>
        <w:jc w:val="center"/>
        <w:rPr>
          <w:rFonts w:hint="eastAsia" w:ascii="方正大标宋简体" w:hAnsi="宋体" w:eastAsia="方正大标宋简体"/>
          <w:sz w:val="44"/>
          <w:szCs w:val="44"/>
        </w:rPr>
      </w:pPr>
      <w:bookmarkStart w:id="0" w:name="_GoBack"/>
      <w:bookmarkEnd w:id="0"/>
      <w:r>
        <w:rPr>
          <w:rFonts w:hint="eastAsia" w:ascii="方正大标宋简体" w:hAnsi="宋体" w:eastAsia="方正大标宋简体"/>
          <w:sz w:val="44"/>
          <w:szCs w:val="44"/>
        </w:rPr>
        <w:t>生命科学学院</w:t>
      </w:r>
    </w:p>
    <w:p w14:paraId="79BACC88">
      <w:pPr>
        <w:pStyle w:val="2"/>
        <w:spacing w:before="0" w:after="0" w:line="240" w:lineRule="auto"/>
        <w:jc w:val="center"/>
        <w:rPr>
          <w:rFonts w:hint="eastAsia" w:ascii="方正大标宋简体" w:hAnsi="宋体" w:eastAsia="方正大标宋简体"/>
          <w:sz w:val="36"/>
          <w:szCs w:val="36"/>
        </w:rPr>
      </w:pPr>
      <w:r>
        <w:rPr>
          <w:rFonts w:hint="eastAsia" w:ascii="方正大标宋简体" w:hAnsi="宋体" w:eastAsia="方正大标宋简体"/>
          <w:sz w:val="36"/>
          <w:szCs w:val="36"/>
        </w:rPr>
        <w:t xml:space="preserve">学科教学（生物）专业研究生国家奖学金评审办法 </w:t>
      </w:r>
    </w:p>
    <w:p w14:paraId="31C0C0F0">
      <w:pPr>
        <w:pStyle w:val="6"/>
        <w:spacing w:before="0" w:beforeAutospacing="0" w:after="0" w:afterAutospacing="0" w:line="360" w:lineRule="auto"/>
        <w:jc w:val="center"/>
        <w:rPr>
          <w:rFonts w:hint="eastAsia" w:ascii="仿宋_GB2312" w:eastAsia="仿宋_GB2312" w:cs="Arial"/>
          <w:b/>
          <w:bCs/>
          <w:sz w:val="32"/>
          <w:szCs w:val="32"/>
        </w:rPr>
      </w:pPr>
      <w:r>
        <w:rPr>
          <w:rFonts w:hint="eastAsia" w:ascii="仿宋_GB2312" w:eastAsia="仿宋_GB2312" w:cs="Arial"/>
          <w:b/>
          <w:bCs/>
          <w:sz w:val="32"/>
          <w:szCs w:val="32"/>
        </w:rPr>
        <w:t>第一章  总 则</w:t>
      </w:r>
    </w:p>
    <w:p w14:paraId="2C50C601">
      <w:pPr>
        <w:tabs>
          <w:tab w:val="left" w:pos="1440"/>
          <w:tab w:val="left" w:pos="1620"/>
        </w:tabs>
        <w:spacing w:line="360" w:lineRule="auto"/>
        <w:ind w:left="330" w:firstLine="643" w:firstLineChars="200"/>
        <w:rPr>
          <w:rFonts w:hint="eastAsia" w:ascii="仿宋_GB2312" w:hAnsi="宋体" w:eastAsia="仿宋_GB2312" w:cs="宋体"/>
          <w:kern w:val="0"/>
          <w:sz w:val="32"/>
          <w:szCs w:val="32"/>
        </w:rPr>
      </w:pPr>
      <w:r>
        <w:rPr>
          <w:rFonts w:hint="eastAsia" w:ascii="仿宋_GB2312" w:hAnsi="宋体" w:eastAsia="仿宋_GB2312"/>
          <w:b/>
          <w:sz w:val="32"/>
          <w:szCs w:val="32"/>
        </w:rPr>
        <w:t xml:space="preserve">第一条  </w:t>
      </w:r>
      <w:r>
        <w:rPr>
          <w:rFonts w:hint="eastAsia" w:ascii="仿宋_GB2312" w:hAnsi="宋体" w:eastAsia="仿宋_GB2312" w:cs="宋体"/>
          <w:kern w:val="0"/>
          <w:sz w:val="32"/>
          <w:szCs w:val="32"/>
        </w:rPr>
        <w:t>为激励我院研究生勤奋学习、潜心科研、勇于创新、积极进取，根据《</w:t>
      </w:r>
      <w:r>
        <w:rPr>
          <w:rFonts w:ascii="仿宋_GB2312" w:hAnsi="宋体" w:eastAsia="仿宋_GB2312" w:cs="宋体"/>
          <w:kern w:val="0"/>
          <w:sz w:val="32"/>
          <w:szCs w:val="32"/>
        </w:rPr>
        <w:t>淮北师范大学研究生国家奖学金实施办法（2025年修订）</w:t>
      </w:r>
      <w:r>
        <w:rPr>
          <w:rFonts w:hint="eastAsia" w:ascii="仿宋_GB2312" w:hAnsi="宋体" w:eastAsia="仿宋_GB2312" w:cs="宋体"/>
          <w:kern w:val="0"/>
          <w:sz w:val="32"/>
          <w:szCs w:val="32"/>
        </w:rPr>
        <w:t>》（校研字〔2025〕8号）规定，结合我院实际，特制定本办法。</w:t>
      </w:r>
    </w:p>
    <w:p w14:paraId="4A27A90A">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第二条</w:t>
      </w:r>
      <w:r>
        <w:rPr>
          <w:rFonts w:hint="eastAsia" w:ascii="仿宋_GB2312" w:hAnsi="宋体" w:eastAsia="仿宋_GB2312"/>
          <w:sz w:val="32"/>
          <w:szCs w:val="32"/>
        </w:rPr>
        <w:t xml:space="preserve">  研究生国家奖学金由中央财政出资设立，硕士研究生国家奖学金奖励标准为2万元/生。</w:t>
      </w:r>
    </w:p>
    <w:p w14:paraId="4CF8349C">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第三条  </w:t>
      </w:r>
      <w:r>
        <w:rPr>
          <w:rFonts w:hint="eastAsia" w:ascii="仿宋_GB2312" w:hAnsi="宋体" w:eastAsia="仿宋_GB2312"/>
          <w:sz w:val="32"/>
          <w:szCs w:val="32"/>
        </w:rPr>
        <w:t>申请者应为我校具有中华人民共和国国籍且纳入全国招生计划的在读全日制研究生。</w:t>
      </w:r>
    </w:p>
    <w:p w14:paraId="1F529C70">
      <w:pPr>
        <w:widowControl/>
        <w:spacing w:before="0" w:line="360" w:lineRule="auto"/>
        <w:ind w:left="0" w:leftChars="0" w:right="0"/>
        <w:jc w:val="center"/>
        <w:rPr>
          <w:rFonts w:hint="eastAsia" w:ascii="仿宋_GB2312" w:hAnsi="宋体" w:eastAsia="仿宋_GB2312" w:cs="Arial"/>
          <w:b/>
          <w:bCs/>
          <w:kern w:val="0"/>
          <w:sz w:val="32"/>
          <w:szCs w:val="32"/>
        </w:rPr>
      </w:pPr>
      <w:r>
        <w:rPr>
          <w:rFonts w:hint="eastAsia" w:ascii="仿宋_GB2312" w:hAnsi="宋体" w:eastAsia="仿宋_GB2312" w:cs="Arial"/>
          <w:b/>
          <w:bCs/>
          <w:kern w:val="0"/>
          <w:sz w:val="32"/>
          <w:szCs w:val="32"/>
        </w:rPr>
        <w:t>第二章  指标分配</w:t>
      </w:r>
    </w:p>
    <w:p w14:paraId="4848DC67">
      <w:pPr>
        <w:pStyle w:val="6"/>
        <w:spacing w:before="0" w:beforeAutospacing="0" w:after="0" w:afterAutospacing="0" w:line="360" w:lineRule="auto"/>
        <w:ind w:firstLine="321" w:firstLineChars="100"/>
        <w:jc w:val="both"/>
        <w:rPr>
          <w:rFonts w:hint="eastAsia" w:ascii="仿宋_GB2312" w:hAnsi="Calibri" w:eastAsia="仿宋_GB2312" w:cs="Times New Roman"/>
          <w:kern w:val="2"/>
          <w:sz w:val="32"/>
          <w:szCs w:val="32"/>
        </w:rPr>
      </w:pPr>
      <w:r>
        <w:rPr>
          <w:rFonts w:hint="eastAsia" w:ascii="仿宋_GB2312" w:hAnsi="Calibri" w:eastAsia="仿宋_GB2312" w:cs="Times New Roman"/>
          <w:b/>
          <w:kern w:val="2"/>
          <w:sz w:val="32"/>
          <w:szCs w:val="32"/>
        </w:rPr>
        <w:t xml:space="preserve">第四条  </w:t>
      </w:r>
      <w:r>
        <w:rPr>
          <w:rFonts w:hint="eastAsia" w:ascii="仿宋_GB2312" w:hAnsi="Calibri" w:eastAsia="仿宋_GB2312" w:cs="Times New Roman"/>
          <w:kern w:val="2"/>
          <w:sz w:val="32"/>
          <w:szCs w:val="32"/>
        </w:rPr>
        <w:t>根据学校下达的指标进行评审。</w:t>
      </w:r>
    </w:p>
    <w:p w14:paraId="4B933114">
      <w:pPr>
        <w:pStyle w:val="6"/>
        <w:spacing w:before="0" w:beforeAutospacing="0" w:after="0" w:afterAutospacing="0" w:line="360" w:lineRule="auto"/>
        <w:ind w:firstLine="321" w:firstLineChars="100"/>
        <w:jc w:val="center"/>
        <w:rPr>
          <w:rFonts w:hint="eastAsia" w:ascii="仿宋_GB2312" w:eastAsia="仿宋_GB2312" w:cs="Times New Roman"/>
          <w:kern w:val="2"/>
          <w:sz w:val="32"/>
          <w:szCs w:val="32"/>
        </w:rPr>
      </w:pPr>
      <w:r>
        <w:rPr>
          <w:rFonts w:hint="eastAsia" w:ascii="仿宋_GB2312" w:eastAsia="仿宋_GB2312" w:cs="Arial"/>
          <w:b/>
          <w:bCs/>
          <w:sz w:val="32"/>
          <w:szCs w:val="32"/>
        </w:rPr>
        <w:t>第三章  评选条件</w:t>
      </w:r>
    </w:p>
    <w:p w14:paraId="4BDDE00C">
      <w:pPr>
        <w:spacing w:line="360" w:lineRule="auto"/>
        <w:ind w:left="155" w:leftChars="74" w:firstLine="321" w:firstLineChars="100"/>
        <w:jc w:val="left"/>
        <w:rPr>
          <w:rFonts w:hint="eastAsia" w:ascii="仿宋_GB2312" w:hAnsi="宋体" w:eastAsia="仿宋_GB2312"/>
          <w:sz w:val="32"/>
          <w:szCs w:val="32"/>
        </w:rPr>
      </w:pPr>
      <w:r>
        <w:rPr>
          <w:rFonts w:hint="eastAsia" w:ascii="仿宋_GB2312" w:hAnsi="宋体" w:eastAsia="仿宋_GB2312"/>
          <w:b/>
          <w:sz w:val="32"/>
          <w:szCs w:val="32"/>
        </w:rPr>
        <w:t xml:space="preserve">第五条  </w:t>
      </w:r>
      <w:r>
        <w:rPr>
          <w:rFonts w:hint="eastAsia" w:ascii="仿宋_GB2312" w:hAnsi="宋体" w:eastAsia="仿宋_GB2312"/>
          <w:sz w:val="32"/>
          <w:szCs w:val="32"/>
        </w:rPr>
        <w:t>研究生国家奖学金评选基本条件</w:t>
      </w:r>
    </w:p>
    <w:p w14:paraId="2AD2EEA1">
      <w:pPr>
        <w:spacing w:line="360" w:lineRule="auto"/>
        <w:ind w:left="330"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（一）思想品德</w:t>
      </w:r>
    </w:p>
    <w:p w14:paraId="18B64C66">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1. 热爱社会主义祖国，拥护中国共产党的领导；</w:t>
      </w:r>
    </w:p>
    <w:p w14:paraId="6DEA2A98">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2. 遵守宪法和法律，遵守学校规章制度；</w:t>
      </w:r>
    </w:p>
    <w:p w14:paraId="06B44C54">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3. 遵守学术规范，诚实守信，道德品质优良。</w:t>
      </w:r>
    </w:p>
    <w:p w14:paraId="331694EA">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（二）学习成绩</w:t>
      </w:r>
    </w:p>
    <w:p w14:paraId="748A494E">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学位课程平均成绩在本专业排名前50%或平均成绩不低于75分，且参评学年的课程不得出现补考。</w:t>
      </w:r>
    </w:p>
    <w:p w14:paraId="1EC53564">
      <w:pPr>
        <w:tabs>
          <w:tab w:val="left" w:pos="900"/>
        </w:tabs>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（三）科研能力与专业技能</w:t>
      </w:r>
    </w:p>
    <w:p w14:paraId="16C8EA80">
      <w:pPr>
        <w:spacing w:line="360" w:lineRule="auto"/>
        <w:ind w:left="330" w:firstLine="640" w:firstLineChars="200"/>
        <w:rPr>
          <w:rFonts w:hint="eastAsia" w:ascii="仿宋_GB2312" w:eastAsia="仿宋_GB2312"/>
          <w:sz w:val="32"/>
          <w:szCs w:val="32"/>
        </w:rPr>
      </w:pPr>
      <w:r>
        <w:rPr>
          <w:rFonts w:ascii="仿宋_GB2312" w:eastAsia="仿宋_GB2312"/>
          <w:sz w:val="32"/>
          <w:szCs w:val="32"/>
        </w:rPr>
        <w:t xml:space="preserve">专业学位研究生应具有较强的专业实践能力，符合下 列（1）（2）（3）（4）项中的1项： </w:t>
      </w:r>
    </w:p>
    <w:p w14:paraId="14AF020D">
      <w:pPr>
        <w:spacing w:line="360" w:lineRule="auto"/>
        <w:ind w:left="330" w:firstLine="640" w:firstLineChars="200"/>
        <w:rPr>
          <w:rFonts w:ascii="仿宋_GB2312" w:eastAsia="仿宋_GB2312"/>
          <w:sz w:val="32"/>
          <w:szCs w:val="32"/>
        </w:rPr>
      </w:pPr>
      <w:r>
        <w:rPr>
          <w:rFonts w:ascii="仿宋_GB2312" w:eastAsia="仿宋_GB2312"/>
          <w:sz w:val="32"/>
          <w:szCs w:val="32"/>
        </w:rPr>
        <w:t xml:space="preserve">（1）在中国研究生创新实践系列大赛等全国性学科竞赛（含艺体类）中获得三等奖及以上，或在“田家炳杯”全日制教育硕士专业学位研究生教学技能大赛中获三等奖及以上，或在全省学科竞赛（含艺体类）中获得二等奖及以上， 或获得与本专业相关的授权专利，或获得软件著作权证书， 或获得被采纳的智库成果（须为市厅级及以上）及优秀网络文化成果（须为市厅级及以上）。 </w:t>
      </w:r>
    </w:p>
    <w:p w14:paraId="6F7DE297">
      <w:pPr>
        <w:spacing w:line="360" w:lineRule="auto"/>
        <w:ind w:left="330" w:firstLine="640" w:firstLineChars="200"/>
        <w:rPr>
          <w:rFonts w:hint="eastAsia" w:ascii="仿宋_GB2312" w:eastAsia="仿宋_GB2312"/>
          <w:sz w:val="32"/>
          <w:szCs w:val="32"/>
        </w:rPr>
      </w:pPr>
      <w:r>
        <w:rPr>
          <w:rFonts w:ascii="仿宋_GB2312" w:eastAsia="仿宋_GB2312"/>
          <w:sz w:val="32"/>
          <w:szCs w:val="32"/>
        </w:rPr>
        <w:t>以上获奖或成果均须排名第一。有固定参赛人数的团体类技能竞赛项目，以该项目竞赛规程规定参赛人数为准，其他团体奖项须排名前三。对于未明确设置奖项等级的专业比赛，由学院研究生奖助学金评审委员会对其获奖等级做出书面认定。</w:t>
      </w:r>
    </w:p>
    <w:p w14:paraId="0AF16C1B">
      <w:pPr>
        <w:spacing w:line="360" w:lineRule="auto"/>
        <w:ind w:left="330" w:firstLine="640" w:firstLineChars="200"/>
        <w:rPr>
          <w:rFonts w:ascii="仿宋_GB2312" w:eastAsia="仿宋_GB2312"/>
          <w:sz w:val="32"/>
          <w:szCs w:val="32"/>
        </w:rPr>
      </w:pPr>
      <w:r>
        <w:rPr>
          <w:rFonts w:ascii="仿宋_GB2312" w:eastAsia="仿宋_GB2312"/>
          <w:sz w:val="32"/>
          <w:szCs w:val="32"/>
        </w:rPr>
        <w:t xml:space="preserve">（2）获得省部级三等奖及以上科研奖励（含发明奖、 自然科学奖、科技进步奖，排名前五），或获得市厅级三等奖及以上科研奖励（含发明奖、自然科学奖、科技进步奖， 排名前三）。 </w:t>
      </w:r>
    </w:p>
    <w:p w14:paraId="730DE2B8">
      <w:pPr>
        <w:spacing w:line="360" w:lineRule="auto"/>
        <w:ind w:left="330" w:firstLine="640" w:firstLineChars="200"/>
        <w:rPr>
          <w:rFonts w:ascii="仿宋_GB2312" w:eastAsia="仿宋_GB2312"/>
          <w:sz w:val="32"/>
          <w:szCs w:val="32"/>
        </w:rPr>
      </w:pPr>
      <w:r>
        <w:rPr>
          <w:rFonts w:ascii="仿宋_GB2312" w:eastAsia="仿宋_GB2312"/>
          <w:sz w:val="32"/>
          <w:szCs w:val="32"/>
        </w:rPr>
        <w:t xml:space="preserve">（3）在二类及以上学术期刊公开发表与本专业相关的学术论文1篇（申请人为第一作者，或申请人为第二作者且其导师为第一作者）。 </w:t>
      </w:r>
    </w:p>
    <w:p w14:paraId="05422F45">
      <w:pPr>
        <w:spacing w:line="360" w:lineRule="auto"/>
        <w:ind w:left="330" w:firstLine="320" w:firstLineChars="100"/>
        <w:rPr>
          <w:rFonts w:hint="eastAsia" w:ascii="仿宋_GB2312" w:eastAsia="仿宋_GB2312"/>
          <w:sz w:val="32"/>
          <w:szCs w:val="32"/>
        </w:rPr>
      </w:pPr>
      <w:r>
        <w:rPr>
          <w:rFonts w:ascii="仿宋_GB2312" w:eastAsia="仿宋_GB2312"/>
          <w:sz w:val="32"/>
          <w:szCs w:val="32"/>
        </w:rPr>
        <w:t>（4）以第一作者身份在三类学术期刊公开发表与本专业相关的学术论文1篇，并具备下列</w:t>
      </w:r>
      <w:r>
        <w:rPr>
          <w:rFonts w:ascii="仿宋_GB2312" w:eastAsia="仿宋_GB2312"/>
          <w:sz w:val="28"/>
          <w:szCs w:val="32"/>
        </w:rPr>
        <w:t xml:space="preserve"> ①-③ </w:t>
      </w:r>
      <w:r>
        <w:rPr>
          <w:rFonts w:ascii="仿宋_GB2312" w:eastAsia="仿宋_GB2312"/>
          <w:sz w:val="32"/>
          <w:szCs w:val="32"/>
        </w:rPr>
        <w:t xml:space="preserve">项中的1项： </w:t>
      </w:r>
    </w:p>
    <w:p w14:paraId="3775DE31">
      <w:pPr>
        <w:spacing w:line="360" w:lineRule="auto"/>
        <w:ind w:left="330" w:firstLine="560" w:firstLineChars="200"/>
        <w:rPr>
          <w:rFonts w:hint="eastAsia" w:ascii="仿宋_GB2312" w:eastAsia="仿宋_GB2312"/>
          <w:sz w:val="32"/>
          <w:szCs w:val="32"/>
        </w:rPr>
      </w:pPr>
      <w:r>
        <w:rPr>
          <w:rFonts w:ascii="仿宋_GB2312" w:eastAsia="仿宋_GB2312"/>
          <w:sz w:val="28"/>
          <w:szCs w:val="32"/>
        </w:rPr>
        <w:t xml:space="preserve">① </w:t>
      </w:r>
      <w:r>
        <w:rPr>
          <w:rFonts w:ascii="仿宋_GB2312" w:eastAsia="仿宋_GB2312"/>
          <w:sz w:val="32"/>
          <w:szCs w:val="32"/>
        </w:rPr>
        <w:t xml:space="preserve">参与科学研究项目或教学研究项目 1 项（校级排名前二、省部级及以上排名前三），或参与横向项目1项（排名前三，项目到账经费不少于2万元），或主持校级及以上创新创业项目1项。申请者须取得与以上参评项目相关的阶段性成果； </w:t>
      </w:r>
    </w:p>
    <w:p w14:paraId="696DF997">
      <w:pPr>
        <w:spacing w:line="360" w:lineRule="auto"/>
        <w:ind w:left="330" w:firstLine="560" w:firstLineChars="200"/>
        <w:rPr>
          <w:rFonts w:hint="eastAsia" w:ascii="仿宋_GB2312" w:eastAsia="仿宋_GB2312"/>
          <w:sz w:val="32"/>
          <w:szCs w:val="32"/>
        </w:rPr>
      </w:pPr>
      <w:r>
        <w:rPr>
          <w:rFonts w:ascii="仿宋_GB2312" w:eastAsia="仿宋_GB2312"/>
          <w:sz w:val="28"/>
          <w:szCs w:val="32"/>
        </w:rPr>
        <w:t xml:space="preserve">② </w:t>
      </w:r>
      <w:r>
        <w:rPr>
          <w:rFonts w:ascii="仿宋_GB2312" w:eastAsia="仿宋_GB2312"/>
          <w:sz w:val="32"/>
          <w:szCs w:val="32"/>
        </w:rPr>
        <w:t xml:space="preserve">获得与本专业相关的授权专利（发明专利排名前三，实用新型专利和外观设计专利排名前二），或软件著作权证 书（排名前二），或被采纳的智库成果（市厅级排名前二、省部级及以上排名前三）及优秀网络文化成果(市厅级排名 前二、省部级及以上排名前三)； </w:t>
      </w:r>
    </w:p>
    <w:p w14:paraId="537F80E0">
      <w:pPr>
        <w:spacing w:line="360" w:lineRule="auto"/>
        <w:ind w:left="330" w:firstLine="560" w:firstLineChars="200"/>
        <w:rPr>
          <w:rFonts w:ascii="仿宋_GB2312" w:eastAsia="仿宋_GB2312"/>
          <w:sz w:val="32"/>
          <w:szCs w:val="32"/>
        </w:rPr>
      </w:pPr>
      <w:r>
        <w:rPr>
          <w:rFonts w:ascii="仿宋_GB2312" w:eastAsia="仿宋_GB2312"/>
          <w:sz w:val="28"/>
          <w:szCs w:val="32"/>
        </w:rPr>
        <w:t xml:space="preserve">③ </w:t>
      </w:r>
      <w:r>
        <w:rPr>
          <w:rFonts w:ascii="仿宋_GB2312" w:eastAsia="仿宋_GB2312"/>
          <w:sz w:val="32"/>
          <w:szCs w:val="32"/>
        </w:rPr>
        <w:t>在中国研究生创新实践系列大赛等全国性学科竞赛 （含艺体类）中获三等奖及以上（二等奖及以上排名前三、 三等奖排名前二），或在全省学科竞赛（含艺体类）中获二等奖及以上（排名前二），或在校级学科竞赛（含艺体类） 中获一等奖（排名第一）。</w:t>
      </w:r>
    </w:p>
    <w:p w14:paraId="0C6A54EF">
      <w:pPr>
        <w:spacing w:line="360" w:lineRule="auto"/>
        <w:ind w:left="330" w:firstLine="640" w:firstLineChars="200"/>
        <w:rPr>
          <w:rFonts w:ascii="仿宋_GB2312" w:eastAsia="仿宋_GB2312"/>
          <w:sz w:val="32"/>
          <w:szCs w:val="32"/>
        </w:rPr>
      </w:pPr>
      <w:r>
        <w:rPr>
          <w:rFonts w:ascii="仿宋_GB2312" w:eastAsia="仿宋_GB2312"/>
          <w:sz w:val="32"/>
          <w:szCs w:val="32"/>
        </w:rPr>
        <w:t xml:space="preserve">对于未明确设置奖项等级的专业比赛，由学院研究生奖助学金评审委员会对其获奖等级做出书面认定。 </w:t>
      </w:r>
    </w:p>
    <w:p w14:paraId="688797C8">
      <w:pPr>
        <w:pStyle w:val="3"/>
        <w:adjustRightInd w:val="0"/>
        <w:spacing w:before="85" w:line="314" w:lineRule="auto"/>
        <w:ind w:right="74" w:firstLine="640" w:firstLineChars="200"/>
        <w:jc w:val="both"/>
        <w:rPr>
          <w:rFonts w:hint="eastAsia" w:ascii="仿宋_GB2312" w:eastAsia="仿宋_GB2312"/>
          <w:b/>
          <w:sz w:val="32"/>
          <w:szCs w:val="32"/>
          <w:lang w:eastAsia="zh-CN"/>
        </w:rPr>
      </w:pPr>
      <w:r>
        <w:rPr>
          <w:rFonts w:ascii="仿宋_GB2312" w:eastAsia="仿宋_GB2312"/>
          <w:kern w:val="2"/>
          <w:sz w:val="32"/>
          <w:szCs w:val="32"/>
          <w:lang w:eastAsia="zh-CN"/>
        </w:rPr>
        <w:t>研究生院（党委研究生工作部）等学校职能部门组织的各类赛事属于校级赛事。有固定参赛人数的团体类技能竞赛项目，以该项目竞赛规程规定参赛人数为准，其他团体奖项须排名前三。</w:t>
      </w:r>
      <w:r>
        <w:rPr>
          <w:rFonts w:hint="eastAsia" w:ascii="仿宋_GB2312" w:eastAsia="仿宋_GB2312"/>
          <w:b/>
          <w:sz w:val="32"/>
          <w:szCs w:val="32"/>
          <w:lang w:eastAsia="zh-CN"/>
        </w:rPr>
        <w:t xml:space="preserve">    </w:t>
      </w:r>
    </w:p>
    <w:p w14:paraId="07D2C08C">
      <w:pPr>
        <w:adjustRightInd w:val="0"/>
        <w:spacing w:before="85" w:line="314" w:lineRule="auto"/>
        <w:ind w:left="120" w:leftChars="0" w:right="74" w:firstLine="643" w:firstLineChars="200"/>
        <w:jc w:val="left"/>
        <w:rPr>
          <w:rFonts w:hint="eastAsia" w:ascii="仿宋_GB2312" w:hAnsi="宋体" w:eastAsia="仿宋_GB2312"/>
          <w:sz w:val="32"/>
          <w:szCs w:val="32"/>
        </w:rPr>
      </w:pPr>
      <w:r>
        <w:rPr>
          <w:rFonts w:ascii="仿宋_GB2312" w:hAnsi="宋体" w:eastAsia="仿宋_GB2312"/>
          <w:b/>
          <w:sz w:val="32"/>
          <w:szCs w:val="32"/>
        </w:rPr>
        <w:t>第六条</w:t>
      </w:r>
      <w:r>
        <w:rPr>
          <w:rFonts w:ascii="仿宋_GB2312" w:hAnsi="宋体" w:eastAsia="仿宋_GB2312"/>
          <w:sz w:val="32"/>
          <w:szCs w:val="32"/>
        </w:rPr>
        <w:t xml:space="preserve"> 破格申请条件：参评学年的课程合格，符合第 五条第（一）款且满足下列条件之一的，可破格申请研究生国家奖学金： </w:t>
      </w:r>
    </w:p>
    <w:p w14:paraId="78BF5D09">
      <w:pPr>
        <w:adjustRightInd w:val="0"/>
        <w:spacing w:before="85" w:line="314" w:lineRule="auto"/>
        <w:ind w:left="120" w:leftChars="0" w:right="74" w:firstLine="640" w:firstLineChars="200"/>
        <w:jc w:val="left"/>
        <w:rPr>
          <w:rFonts w:hint="eastAsia" w:ascii="仿宋_GB2312" w:hAnsi="宋体" w:eastAsia="仿宋_GB2312"/>
          <w:sz w:val="32"/>
          <w:szCs w:val="32"/>
        </w:rPr>
      </w:pPr>
      <w:r>
        <w:rPr>
          <w:rFonts w:ascii="仿宋_GB2312" w:hAnsi="宋体" w:eastAsia="仿宋_GB2312"/>
          <w:sz w:val="32"/>
          <w:szCs w:val="32"/>
        </w:rPr>
        <w:t xml:space="preserve">（一）思想政治素质高，在新时代公民道德建设中表现突出，具有见义勇为、助人为乐、奉献爱心、服务社会、自立自强的实际行动，在本省产生重大影响，在全国产生较大影响，有助于树立良好的社会风尚。 </w:t>
      </w:r>
    </w:p>
    <w:p w14:paraId="2578B7BB">
      <w:pPr>
        <w:adjustRightInd w:val="0"/>
        <w:spacing w:before="85" w:line="314" w:lineRule="auto"/>
        <w:ind w:left="120" w:leftChars="0" w:right="74" w:firstLine="640" w:firstLineChars="200"/>
        <w:jc w:val="left"/>
        <w:rPr>
          <w:rFonts w:hint="eastAsia" w:ascii="仿宋_GB2312" w:hAnsi="宋体" w:eastAsia="仿宋_GB2312"/>
          <w:sz w:val="32"/>
          <w:szCs w:val="32"/>
        </w:rPr>
      </w:pPr>
      <w:r>
        <w:rPr>
          <w:rFonts w:ascii="仿宋_GB2312" w:hAnsi="宋体" w:eastAsia="仿宋_GB2312"/>
          <w:sz w:val="32"/>
          <w:szCs w:val="32"/>
        </w:rPr>
        <w:t xml:space="preserve">（二）以第一作者在国际或国内顶级期刊发表高水平学术论文或作为项目主要完成人发明创造取得重大成果，得到学界或业界公认。 </w:t>
      </w:r>
    </w:p>
    <w:p w14:paraId="502E7272">
      <w:pPr>
        <w:adjustRightInd w:val="0"/>
        <w:spacing w:before="85" w:line="314" w:lineRule="auto"/>
        <w:ind w:left="120" w:leftChars="0" w:right="74" w:firstLine="640" w:firstLineChars="200"/>
        <w:jc w:val="left"/>
        <w:rPr>
          <w:rFonts w:ascii="仿宋_GB2312" w:hAnsi="宋体" w:eastAsia="仿宋_GB2312"/>
          <w:sz w:val="32"/>
          <w:szCs w:val="32"/>
        </w:rPr>
      </w:pPr>
      <w:r>
        <w:rPr>
          <w:rFonts w:ascii="仿宋_GB2312" w:hAnsi="宋体" w:eastAsia="仿宋_GB2312"/>
          <w:sz w:val="32"/>
          <w:szCs w:val="32"/>
        </w:rPr>
        <w:t xml:space="preserve">（三）在学科竞赛中取得突出成绩，参加A类赛事或“田家炳杯”全日制教育硕士专业学位研究生教学技能大赛获一等奖及以上（排名第一）。 </w:t>
      </w:r>
    </w:p>
    <w:p w14:paraId="79916781">
      <w:pPr>
        <w:adjustRightInd w:val="0"/>
        <w:spacing w:before="85" w:line="314" w:lineRule="auto"/>
        <w:ind w:left="120" w:leftChars="0" w:right="74" w:firstLine="640" w:firstLineChars="200"/>
        <w:jc w:val="left"/>
        <w:rPr>
          <w:rFonts w:hint="eastAsia" w:ascii="仿宋_GB2312" w:hAnsi="宋体" w:eastAsia="仿宋_GB2312"/>
          <w:sz w:val="32"/>
          <w:szCs w:val="32"/>
        </w:rPr>
      </w:pPr>
      <w:r>
        <w:rPr>
          <w:rFonts w:ascii="仿宋_GB2312" w:hAnsi="宋体" w:eastAsia="仿宋_GB2312"/>
          <w:sz w:val="32"/>
          <w:szCs w:val="32"/>
        </w:rPr>
        <w:t>破格申请条件须经学院奖助学金评审委员会认定后报 学校奖助学金评审委员会审定。</w:t>
      </w:r>
    </w:p>
    <w:p w14:paraId="3076348F">
      <w:pPr>
        <w:spacing w:line="360" w:lineRule="auto"/>
        <w:ind w:left="330" w:firstLine="643" w:firstLineChars="200"/>
        <w:rPr>
          <w:rFonts w:hint="eastAsia" w:ascii="仿宋_GB2312" w:eastAsia="仿宋_GB2312" w:cs="宋体"/>
          <w:sz w:val="32"/>
          <w:szCs w:val="32"/>
        </w:rPr>
      </w:pPr>
      <w:r>
        <w:rPr>
          <w:rFonts w:hint="eastAsia" w:ascii="仿宋_GB2312" w:eastAsia="仿宋_GB2312"/>
          <w:b/>
          <w:sz w:val="32"/>
          <w:szCs w:val="32"/>
        </w:rPr>
        <w:t xml:space="preserve">第七条  </w:t>
      </w:r>
      <w:r>
        <w:rPr>
          <w:rFonts w:hint="eastAsia" w:ascii="仿宋_GB2312" w:eastAsia="仿宋_GB2312" w:cs="宋体"/>
          <w:sz w:val="32"/>
          <w:szCs w:val="32"/>
        </w:rPr>
        <w:t>评选细则</w:t>
      </w:r>
    </w:p>
    <w:p w14:paraId="1A234BE6">
      <w:pPr>
        <w:spacing w:line="360" w:lineRule="auto"/>
        <w:ind w:left="330" w:firstLine="640" w:firstLineChars="200"/>
        <w:rPr>
          <w:rFonts w:ascii="仿宋_GB2312" w:eastAsia="仿宋_GB2312"/>
          <w:sz w:val="32"/>
          <w:szCs w:val="32"/>
        </w:rPr>
      </w:pPr>
      <w:r>
        <w:rPr>
          <w:rFonts w:hint="eastAsia" w:ascii="仿宋_GB2312" w:eastAsia="仿宋_GB2312"/>
          <w:sz w:val="32"/>
          <w:szCs w:val="32"/>
        </w:rPr>
        <w:t>国家奖学金每年评选一次，授予在校期间综合表现优异的研究生。在满足学校评审条件后，</w:t>
      </w:r>
      <w:r>
        <w:rPr>
          <w:rFonts w:ascii="仿宋_GB2312" w:eastAsia="仿宋_GB2312"/>
          <w:sz w:val="32"/>
          <w:szCs w:val="32"/>
        </w:rPr>
        <w:t>采用综合测评形式（100分），包括</w:t>
      </w:r>
      <w:r>
        <w:rPr>
          <w:rFonts w:hint="eastAsia" w:ascii="仿宋_GB2312" w:eastAsia="仿宋_GB2312"/>
          <w:sz w:val="32"/>
          <w:szCs w:val="32"/>
        </w:rPr>
        <w:t>以下</w:t>
      </w:r>
      <w:r>
        <w:rPr>
          <w:rFonts w:ascii="仿宋_GB2312" w:eastAsia="仿宋_GB2312"/>
          <w:sz w:val="32"/>
          <w:szCs w:val="32"/>
        </w:rPr>
        <w:t>方面</w:t>
      </w:r>
      <w:r>
        <w:rPr>
          <w:rFonts w:hint="eastAsia"/>
          <w:sz w:val="24"/>
        </w:rPr>
        <w:t>：</w:t>
      </w:r>
    </w:p>
    <w:p w14:paraId="3E01FAE3">
      <w:pPr>
        <w:spacing w:line="360" w:lineRule="auto"/>
        <w:ind w:left="330"/>
        <w:rPr>
          <w:rFonts w:hint="eastAsia" w:ascii="仿宋_GB2312" w:eastAsia="仿宋_GB2312"/>
          <w:sz w:val="32"/>
          <w:szCs w:val="32"/>
        </w:rPr>
      </w:pPr>
      <w:r>
        <w:rPr>
          <w:rFonts w:hint="eastAsia" w:ascii="仿宋_GB2312" w:eastAsia="仿宋_GB2312"/>
          <w:sz w:val="32"/>
          <w:szCs w:val="32"/>
        </w:rPr>
        <w:t>（A）政治思想表现（10%）</w:t>
      </w:r>
    </w:p>
    <w:p w14:paraId="2556071B">
      <w:pPr>
        <w:spacing w:line="360" w:lineRule="auto"/>
        <w:ind w:left="330" w:firstLine="800" w:firstLineChars="250"/>
        <w:rPr>
          <w:rFonts w:hint="eastAsia" w:ascii="仿宋_GB2312" w:eastAsia="仿宋_GB2312"/>
          <w:sz w:val="32"/>
          <w:szCs w:val="32"/>
        </w:rPr>
      </w:pPr>
      <w:r>
        <w:rPr>
          <w:rFonts w:hint="eastAsia" w:ascii="仿宋_GB2312" w:eastAsia="仿宋_GB2312"/>
          <w:sz w:val="32"/>
          <w:szCs w:val="32"/>
        </w:rPr>
        <w:t xml:space="preserve">采取研究生互评方式，包括上课情况、年级活动、平时表现等（见附表）。 </w:t>
      </w:r>
    </w:p>
    <w:p w14:paraId="3E4A04C5">
      <w:pPr>
        <w:spacing w:line="360" w:lineRule="auto"/>
        <w:ind w:left="330"/>
        <w:rPr>
          <w:rFonts w:hint="eastAsia" w:ascii="仿宋_GB2312" w:eastAsia="仿宋_GB2312"/>
          <w:sz w:val="32"/>
          <w:szCs w:val="32"/>
        </w:rPr>
      </w:pPr>
      <w:r>
        <w:rPr>
          <w:rFonts w:hint="eastAsia" w:ascii="仿宋_GB2312" w:eastAsia="仿宋_GB2312"/>
          <w:sz w:val="32"/>
          <w:szCs w:val="32"/>
        </w:rPr>
        <w:t>（B）学习成绩（20%）</w:t>
      </w:r>
    </w:p>
    <w:p w14:paraId="4FE336BC">
      <w:pPr>
        <w:spacing w:line="360" w:lineRule="auto"/>
        <w:ind w:left="330" w:firstLine="800" w:firstLineChars="250"/>
        <w:rPr>
          <w:rFonts w:hint="eastAsia" w:ascii="仿宋_GB2312" w:eastAsia="仿宋_GB2312"/>
          <w:sz w:val="32"/>
          <w:szCs w:val="32"/>
        </w:rPr>
      </w:pPr>
      <w:r>
        <w:rPr>
          <w:rFonts w:hint="eastAsia" w:ascii="仿宋_GB2312" w:eastAsia="仿宋_GB2312"/>
          <w:sz w:val="32"/>
          <w:szCs w:val="32"/>
        </w:rPr>
        <w:t>结合学位课程、非学位课程成绩，综合评定；</w:t>
      </w:r>
    </w:p>
    <w:p w14:paraId="6A1360CC">
      <w:pPr>
        <w:spacing w:line="360" w:lineRule="auto"/>
        <w:ind w:left="330"/>
        <w:rPr>
          <w:rFonts w:hint="eastAsia" w:ascii="仿宋_GB2312" w:eastAsia="仿宋_GB2312"/>
          <w:sz w:val="32"/>
          <w:szCs w:val="32"/>
        </w:rPr>
      </w:pPr>
      <w:r>
        <w:rPr>
          <w:rFonts w:hint="eastAsia" w:ascii="仿宋_GB2312" w:eastAsia="仿宋_GB2312"/>
          <w:sz w:val="32"/>
          <w:szCs w:val="32"/>
        </w:rPr>
        <w:t>（C）科研情况（60%）</w:t>
      </w:r>
    </w:p>
    <w:p w14:paraId="2539F791">
      <w:pPr>
        <w:spacing w:line="360" w:lineRule="auto"/>
        <w:ind w:left="330" w:firstLine="800" w:firstLineChars="250"/>
        <w:rPr>
          <w:rFonts w:hint="eastAsia" w:ascii="仿宋_GB2312" w:eastAsia="仿宋_GB2312"/>
          <w:sz w:val="32"/>
          <w:szCs w:val="32"/>
        </w:rPr>
      </w:pPr>
      <w:r>
        <w:rPr>
          <w:rFonts w:hint="eastAsia" w:ascii="仿宋_GB2312" w:eastAsia="仿宋_GB2312"/>
          <w:sz w:val="32"/>
          <w:szCs w:val="32"/>
        </w:rPr>
        <w:t>结合发表论文情况、参加科研项目情况、科研奖励和专利情况（见附表）。</w:t>
      </w:r>
    </w:p>
    <w:p w14:paraId="5921169F">
      <w:pPr>
        <w:spacing w:line="360" w:lineRule="auto"/>
        <w:ind w:left="330"/>
        <w:rPr>
          <w:rFonts w:hint="eastAsia" w:ascii="仿宋_GB2312" w:eastAsia="仿宋_GB2312"/>
          <w:sz w:val="32"/>
          <w:szCs w:val="32"/>
        </w:rPr>
      </w:pPr>
      <w:r>
        <w:rPr>
          <w:rFonts w:hint="eastAsia" w:ascii="仿宋_GB2312" w:eastAsia="仿宋_GB2312"/>
          <w:sz w:val="32"/>
          <w:szCs w:val="32"/>
        </w:rPr>
        <w:t>（D）其他加分（10%）</w:t>
      </w:r>
    </w:p>
    <w:p w14:paraId="572E90DE">
      <w:pPr>
        <w:spacing w:line="360" w:lineRule="auto"/>
        <w:ind w:left="330"/>
        <w:rPr>
          <w:rFonts w:hint="eastAsia" w:ascii="仿宋_GB2312" w:eastAsia="仿宋_GB2312"/>
          <w:sz w:val="32"/>
          <w:szCs w:val="32"/>
        </w:rPr>
      </w:pPr>
      <w:r>
        <w:rPr>
          <w:rFonts w:hint="eastAsia" w:ascii="仿宋_GB2312" w:eastAsia="仿宋_GB2312"/>
          <w:sz w:val="32"/>
          <w:szCs w:val="32"/>
        </w:rPr>
        <w:t xml:space="preserve">     主要是科技创新获奖、学生干部加分等（见附表）。</w:t>
      </w:r>
    </w:p>
    <w:p w14:paraId="70452530">
      <w:pPr>
        <w:spacing w:line="360" w:lineRule="auto"/>
        <w:ind w:left="155" w:leftChars="74"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第八条  </w:t>
      </w:r>
      <w:r>
        <w:rPr>
          <w:rFonts w:hint="eastAsia" w:ascii="仿宋_GB2312" w:hAnsi="宋体" w:eastAsia="仿宋_GB2312"/>
          <w:sz w:val="32"/>
          <w:szCs w:val="32"/>
        </w:rPr>
        <w:t>参评科研成果的相关规定</w:t>
      </w:r>
    </w:p>
    <w:p w14:paraId="6688AFD7">
      <w:pPr>
        <w:spacing w:line="360" w:lineRule="auto"/>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（一）参评成果的获得时间应为进入我校攻读硕士学位之后；</w:t>
      </w:r>
    </w:p>
    <w:p w14:paraId="647531FA">
      <w:pPr>
        <w:spacing w:line="360" w:lineRule="auto"/>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（二）各项成果在评选各类研究生奖学金时，只能使用一次，不得重复使用；</w:t>
      </w:r>
    </w:p>
    <w:p w14:paraId="449A79D6">
      <w:pPr>
        <w:spacing w:line="360" w:lineRule="auto"/>
        <w:ind w:left="0" w:leftChars="0" w:firstLine="640" w:firstLineChars="200"/>
        <w:rPr>
          <w:rFonts w:hint="eastAsia" w:ascii="仿宋_GB2312" w:hAnsi="宋体" w:eastAsia="仿宋_GB2312"/>
          <w:sz w:val="32"/>
          <w:szCs w:val="32"/>
        </w:rPr>
      </w:pPr>
      <w:r>
        <w:rPr>
          <w:rFonts w:ascii="仿宋_GB2312" w:hAnsi="宋体" w:eastAsia="仿宋_GB2312"/>
          <w:sz w:val="32"/>
          <w:szCs w:val="32"/>
        </w:rPr>
        <w:t xml:space="preserve">（三）参评的成果须以淮北师范大学为第一署名单位， 且已正式公开发表； </w:t>
      </w:r>
    </w:p>
    <w:p w14:paraId="180E9220">
      <w:pPr>
        <w:spacing w:line="360" w:lineRule="auto"/>
        <w:ind w:left="0" w:leftChars="0" w:firstLine="640" w:firstLineChars="200"/>
        <w:rPr>
          <w:rFonts w:hint="eastAsia" w:ascii="仿宋_GB2312" w:hAnsi="宋体" w:eastAsia="仿宋_GB2312"/>
          <w:sz w:val="32"/>
          <w:szCs w:val="32"/>
        </w:rPr>
      </w:pPr>
      <w:r>
        <w:rPr>
          <w:rFonts w:ascii="仿宋_GB2312" w:hAnsi="宋体" w:eastAsia="仿宋_GB2312"/>
          <w:sz w:val="32"/>
          <w:szCs w:val="32"/>
        </w:rPr>
        <w:t xml:space="preserve">（四）对于二类及以上学术论文，同等条件下第一作者 优先推荐； </w:t>
      </w:r>
    </w:p>
    <w:p w14:paraId="533796CE">
      <w:pPr>
        <w:spacing w:line="360" w:lineRule="auto"/>
        <w:ind w:left="0" w:leftChars="0" w:firstLine="640" w:firstLineChars="200"/>
        <w:rPr>
          <w:rFonts w:hint="eastAsia" w:ascii="仿宋_GB2312" w:hAnsi="宋体" w:eastAsia="仿宋_GB2312"/>
          <w:sz w:val="32"/>
          <w:szCs w:val="32"/>
        </w:rPr>
      </w:pPr>
      <w:r>
        <w:rPr>
          <w:rFonts w:ascii="仿宋_GB2312" w:hAnsi="宋体" w:eastAsia="仿宋_GB2312"/>
          <w:sz w:val="32"/>
          <w:szCs w:val="32"/>
        </w:rPr>
        <w:t xml:space="preserve">（五）参评成果涉及项目排名的，均含主持人； </w:t>
      </w:r>
    </w:p>
    <w:p w14:paraId="30121E46">
      <w:pPr>
        <w:spacing w:line="360" w:lineRule="auto"/>
        <w:ind w:left="0" w:leftChars="0" w:firstLine="640" w:firstLineChars="200"/>
        <w:rPr>
          <w:rFonts w:hint="eastAsia" w:ascii="仿宋_GB2312" w:hAnsi="宋体" w:eastAsia="仿宋_GB2312"/>
          <w:sz w:val="32"/>
          <w:szCs w:val="32"/>
        </w:rPr>
      </w:pPr>
      <w:r>
        <w:rPr>
          <w:rFonts w:ascii="仿宋_GB2312" w:hAnsi="宋体" w:eastAsia="仿宋_GB2312"/>
          <w:sz w:val="32"/>
          <w:szCs w:val="32"/>
        </w:rPr>
        <w:t>（六）阶段性成果包括公开发表的学术论文、获得的专 利、相关奖励等，及同行专家认可的其他成果。阶段性成果 的标注以相应的项目管理办法为准</w:t>
      </w:r>
      <w:r>
        <w:rPr>
          <w:rFonts w:hint="eastAsia" w:ascii="仿宋_GB2312" w:hAnsi="宋体" w:eastAsia="仿宋_GB2312"/>
          <w:sz w:val="32"/>
          <w:szCs w:val="32"/>
        </w:rPr>
        <w:t>；</w:t>
      </w:r>
      <w:r>
        <w:rPr>
          <w:rFonts w:ascii="仿宋_GB2312" w:hAnsi="宋体" w:eastAsia="仿宋_GB2312"/>
          <w:sz w:val="32"/>
          <w:szCs w:val="32"/>
        </w:rPr>
        <w:t xml:space="preserve"> </w:t>
      </w:r>
    </w:p>
    <w:p w14:paraId="218D80B2">
      <w:pPr>
        <w:spacing w:line="360" w:lineRule="auto"/>
        <w:ind w:left="0" w:leftChars="0" w:firstLine="640" w:firstLineChars="200"/>
        <w:rPr>
          <w:rFonts w:hint="eastAsia" w:ascii="仿宋_GB2312" w:hAnsi="宋体" w:eastAsia="仿宋_GB2312"/>
          <w:sz w:val="32"/>
          <w:szCs w:val="32"/>
        </w:rPr>
      </w:pPr>
      <w:r>
        <w:rPr>
          <w:rFonts w:ascii="仿宋_GB2312" w:hAnsi="宋体" w:eastAsia="仿宋_GB2312"/>
          <w:sz w:val="32"/>
          <w:szCs w:val="32"/>
        </w:rPr>
        <w:t>（七）参评的成果必须是研究生本人付出实质性劳动获 得的。</w:t>
      </w:r>
    </w:p>
    <w:p w14:paraId="6DDA56C7">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xml:space="preserve">  凡出现以下任一情况者，不具备当年研究生国家奖学金参评资格：</w:t>
      </w:r>
    </w:p>
    <w:p w14:paraId="1801AA88">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（一）违反宪法和法律、校纪校规受惩处者；</w:t>
      </w:r>
    </w:p>
    <w:p w14:paraId="41C8DC95">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（二）有抄袭剽窃、弄虚作假等学术不端行为者；</w:t>
      </w:r>
    </w:p>
    <w:p w14:paraId="350498A4">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（三）中期考核不合格者；</w:t>
      </w:r>
    </w:p>
    <w:p w14:paraId="20A648AA">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（四）学籍状态处于未注册、休学、延长修业年限、保留学籍者。</w:t>
      </w:r>
    </w:p>
    <w:p w14:paraId="09B217E2">
      <w:pPr>
        <w:pStyle w:val="6"/>
        <w:spacing w:before="0" w:beforeAutospacing="0" w:after="0" w:afterAutospacing="0" w:line="360" w:lineRule="auto"/>
        <w:ind w:left="330"/>
        <w:jc w:val="center"/>
        <w:rPr>
          <w:rFonts w:hint="eastAsia" w:ascii="仿宋_GB2312" w:eastAsia="仿宋_GB2312" w:cs="Arial"/>
          <w:b/>
          <w:bCs/>
          <w:sz w:val="32"/>
          <w:szCs w:val="32"/>
        </w:rPr>
      </w:pPr>
    </w:p>
    <w:p w14:paraId="2457FA2F">
      <w:pPr>
        <w:pStyle w:val="6"/>
        <w:spacing w:before="0" w:beforeAutospacing="0" w:after="0" w:afterAutospacing="0" w:line="360" w:lineRule="auto"/>
        <w:ind w:left="330"/>
        <w:jc w:val="center"/>
        <w:rPr>
          <w:rFonts w:hint="eastAsia" w:ascii="仿宋_GB2312" w:eastAsia="仿宋_GB2312" w:cs="Arial"/>
          <w:b/>
          <w:bCs/>
          <w:sz w:val="32"/>
          <w:szCs w:val="32"/>
        </w:rPr>
      </w:pPr>
      <w:r>
        <w:rPr>
          <w:rFonts w:hint="eastAsia" w:ascii="仿宋_GB2312" w:eastAsia="仿宋_GB2312" w:cs="Arial"/>
          <w:b/>
          <w:bCs/>
          <w:sz w:val="32"/>
          <w:szCs w:val="32"/>
        </w:rPr>
        <w:t>第四章  评审机构</w:t>
      </w:r>
    </w:p>
    <w:p w14:paraId="3CC63C7D">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第十条  </w:t>
      </w:r>
      <w:r>
        <w:rPr>
          <w:rFonts w:hint="eastAsia" w:ascii="仿宋_GB2312" w:eastAsia="仿宋_GB2312"/>
          <w:sz w:val="32"/>
          <w:szCs w:val="32"/>
        </w:rPr>
        <w:t>学院</w:t>
      </w:r>
      <w:r>
        <w:rPr>
          <w:rFonts w:hint="eastAsia" w:ascii="仿宋_GB2312" w:hAnsi="宋体" w:eastAsia="仿宋_GB2312"/>
          <w:sz w:val="32"/>
          <w:szCs w:val="32"/>
        </w:rPr>
        <w:t>成立研究生奖助学金评审领导小组，负责统筹领导、协调、监督评审工作，并裁决学生对评审结果的申诉。</w:t>
      </w:r>
    </w:p>
    <w:p w14:paraId="674F58D1">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第十一条  </w:t>
      </w:r>
      <w:r>
        <w:rPr>
          <w:rFonts w:hint="eastAsia" w:ascii="仿宋_GB2312" w:eastAsia="仿宋_GB2312"/>
          <w:sz w:val="32"/>
          <w:szCs w:val="32"/>
        </w:rPr>
        <w:t>学院</w:t>
      </w:r>
      <w:r>
        <w:rPr>
          <w:rFonts w:hint="eastAsia" w:ascii="仿宋_GB2312" w:hAnsi="宋体" w:eastAsia="仿宋_GB2312"/>
          <w:sz w:val="32"/>
          <w:szCs w:val="32"/>
        </w:rPr>
        <w:t>成立研究生奖助学金评审委员会，负责研究生国家奖学金的复审、复评工作。</w:t>
      </w:r>
    </w:p>
    <w:p w14:paraId="29E4C586">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第十二条  </w:t>
      </w:r>
      <w:r>
        <w:rPr>
          <w:rFonts w:ascii="仿宋_GB2312" w:hAnsi="宋体" w:eastAsia="仿宋_GB2312"/>
          <w:sz w:val="32"/>
          <w:szCs w:val="32"/>
        </w:rPr>
        <w:t>学院成立由院主要领导任主任委员， 学院党委副书记、分管研究生工作副院长、学位点负责人、 导师代表、辅导员、研究生代表任委员的研究生奖助学金评 审委员会，其成员原则上不少于7人，负责制定本单位研究 生国家奖学金评审细则，并开展初评工作。</w:t>
      </w:r>
    </w:p>
    <w:p w14:paraId="7988D825">
      <w:pPr>
        <w:spacing w:line="360" w:lineRule="auto"/>
        <w:ind w:left="330" w:firstLine="643" w:firstLineChars="200"/>
        <w:jc w:val="center"/>
        <w:rPr>
          <w:rFonts w:hint="eastAsia" w:ascii="仿宋_GB2312" w:eastAsia="仿宋_GB2312" w:cs="Arial"/>
          <w:b/>
          <w:bCs/>
          <w:sz w:val="32"/>
          <w:szCs w:val="32"/>
        </w:rPr>
      </w:pPr>
      <w:r>
        <w:rPr>
          <w:rFonts w:hint="eastAsia" w:ascii="仿宋_GB2312" w:eastAsia="仿宋_GB2312" w:cs="Arial"/>
          <w:b/>
          <w:bCs/>
          <w:sz w:val="32"/>
          <w:szCs w:val="32"/>
        </w:rPr>
        <w:t>第五章  评审程序</w:t>
      </w:r>
    </w:p>
    <w:p w14:paraId="171B3850">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第十三条</w:t>
      </w:r>
      <w:r>
        <w:rPr>
          <w:rFonts w:hint="eastAsia" w:ascii="仿宋_GB2312" w:hAnsi="宋体" w:eastAsia="仿宋_GB2312"/>
          <w:sz w:val="32"/>
          <w:szCs w:val="32"/>
        </w:rPr>
        <w:t xml:space="preserve">  符合本办法规定条件的研究生自愿申请国家奖学金，并如实填写《研究生国家奖学金申请审批表》，提交研究生课程学习成绩单、科研成果、获奖证书等材料。</w:t>
      </w:r>
    </w:p>
    <w:p w14:paraId="69A268FC">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第十四条</w:t>
      </w:r>
      <w:r>
        <w:rPr>
          <w:rFonts w:hint="eastAsia" w:ascii="仿宋_GB2312" w:hAnsi="宋体" w:eastAsia="仿宋_GB2312"/>
          <w:sz w:val="32"/>
          <w:szCs w:val="32"/>
        </w:rPr>
        <w:t xml:space="preserve">  学院的研究生奖助学金评审委员会审核初评，确定初选名单，并在本单位范围内公示不少于5个工作日。  </w:t>
      </w:r>
    </w:p>
    <w:p w14:paraId="6D51D3A8">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第十五条</w:t>
      </w:r>
      <w:r>
        <w:rPr>
          <w:rFonts w:hint="eastAsia" w:ascii="仿宋_GB2312" w:hAnsi="宋体" w:eastAsia="仿宋_GB2312"/>
          <w:sz w:val="32"/>
          <w:szCs w:val="32"/>
        </w:rPr>
        <w:t xml:space="preserve">  校研究生奖助学金评审委员会对等额人选进行复审，对差额人员进行复评，确定拟获奖人选名单，</w:t>
      </w:r>
      <w:r>
        <w:rPr>
          <w:rFonts w:ascii="仿宋_GB2312" w:hAnsi="宋体" w:eastAsia="仿宋_GB2312"/>
          <w:sz w:val="32"/>
          <w:szCs w:val="32"/>
        </w:rPr>
        <w:t>并在全校范围内公示不少于5个工作日。</w:t>
      </w:r>
      <w:r>
        <w:rPr>
          <w:rFonts w:hint="eastAsia" w:ascii="仿宋_GB2312" w:hAnsi="宋体" w:eastAsia="仿宋_GB2312"/>
          <w:sz w:val="32"/>
          <w:szCs w:val="32"/>
        </w:rPr>
        <w:t>。</w:t>
      </w:r>
    </w:p>
    <w:p w14:paraId="7FA7F6E0">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第十六条</w:t>
      </w:r>
      <w:r>
        <w:rPr>
          <w:rFonts w:ascii="仿宋_GB2312" w:hAnsi="宋体" w:eastAsia="仿宋_GB2312"/>
          <w:sz w:val="32"/>
          <w:szCs w:val="32"/>
        </w:rPr>
        <w:t>审定结果在全校范围内公示不少于5个工作 日后，报上级主管部门审批。</w:t>
      </w:r>
    </w:p>
    <w:p w14:paraId="2A2B650C">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第十七条</w:t>
      </w:r>
      <w:r>
        <w:rPr>
          <w:rFonts w:hint="eastAsia" w:ascii="仿宋_GB2312" w:hAnsi="宋体" w:eastAsia="仿宋_GB2312"/>
          <w:sz w:val="32"/>
          <w:szCs w:val="32"/>
        </w:rPr>
        <w:t>对研究生国家奖学金评审结果有异议的研究生，可在培养学院公示阶段向所在单位评审委员会提出申诉，培养学院评审委员会应及时研究并予以答复。如研究生对培养学院做出的答复仍存在异议，可在学校公示期内向校研究生奖助学金评审领导小组提出裁决。</w:t>
      </w:r>
    </w:p>
    <w:p w14:paraId="5BEA5481">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第十八条</w:t>
      </w:r>
      <w:r>
        <w:rPr>
          <w:rFonts w:hint="eastAsia" w:ascii="仿宋_GB2312" w:hAnsi="宋体" w:eastAsia="仿宋_GB2312"/>
          <w:sz w:val="32"/>
          <w:szCs w:val="32"/>
        </w:rPr>
        <w:t xml:space="preserve">  评审委员会成员应遵守的原则</w:t>
      </w:r>
    </w:p>
    <w:p w14:paraId="23D4A6BF">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（一）平等原则，即在评审过程中，积极听取其他委员的意见，在平等、协商的气氛中提出评审意见；</w:t>
      </w:r>
    </w:p>
    <w:p w14:paraId="2752D333">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（二）回避原则，即发生与评审对象存在亲属关系、直接经济利益关系或有其他可能影响评审工作公平公正的情形时，应主动向评审委员会申请回避；</w:t>
      </w:r>
    </w:p>
    <w:p w14:paraId="6A74EB03">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（三）公正原则，即不得利用评审委员会的特殊身份和影响力，单独或与有关人员共同为参评者获奖提供便利；</w:t>
      </w:r>
    </w:p>
    <w:p w14:paraId="0B59C4D6">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（四）保密原则，即不得擅自披露评审结果及其他评审委员的意见等相关保密信息。</w:t>
      </w:r>
    </w:p>
    <w:p w14:paraId="05C6A346">
      <w:pPr>
        <w:spacing w:line="360" w:lineRule="auto"/>
        <w:ind w:left="330" w:firstLine="643" w:firstLineChars="200"/>
        <w:rPr>
          <w:rFonts w:hint="eastAsia" w:ascii="仿宋_GB2312" w:hAnsi="宋体" w:eastAsia="仿宋_GB2312"/>
          <w:sz w:val="32"/>
          <w:szCs w:val="32"/>
        </w:rPr>
      </w:pPr>
      <w:r>
        <w:rPr>
          <w:rFonts w:hint="eastAsia" w:ascii="仿宋_GB2312" w:hAnsi="宋体" w:eastAsia="仿宋_GB2312"/>
          <w:b/>
          <w:sz w:val="32"/>
          <w:szCs w:val="32"/>
        </w:rPr>
        <w:t>第十九条</w:t>
      </w:r>
      <w:r>
        <w:rPr>
          <w:rFonts w:hint="eastAsia" w:ascii="仿宋_GB2312" w:hAnsi="宋体" w:eastAsia="仿宋_GB2312"/>
          <w:sz w:val="32"/>
          <w:szCs w:val="32"/>
        </w:rPr>
        <w:t xml:space="preserve">  学术不端行为的处罚</w:t>
      </w:r>
    </w:p>
    <w:p w14:paraId="2907F3F2">
      <w:pPr>
        <w:spacing w:line="360" w:lineRule="auto"/>
        <w:ind w:left="330" w:firstLine="640" w:firstLineChars="200"/>
        <w:rPr>
          <w:rFonts w:hint="eastAsia" w:ascii="仿宋_GB2312" w:hAnsi="宋体" w:eastAsia="仿宋_GB2312"/>
          <w:sz w:val="32"/>
          <w:szCs w:val="32"/>
        </w:rPr>
      </w:pPr>
      <w:r>
        <w:rPr>
          <w:rFonts w:hint="eastAsia" w:ascii="仿宋_GB2312" w:hAnsi="宋体" w:eastAsia="仿宋_GB2312"/>
          <w:sz w:val="32"/>
          <w:szCs w:val="32"/>
        </w:rPr>
        <w:t>申请者若有弄虚作假、违反学术诚信的行为，经学校有关部门认定后，如在国家奖学金评审过程中，则取消其国家奖学金参评资格；如在整个评审工作结束后，则收回已获得的国家奖学金及证书，并按照相关规定对申请者做相应处理。</w:t>
      </w:r>
    </w:p>
    <w:p w14:paraId="432C9166">
      <w:pPr>
        <w:pStyle w:val="6"/>
        <w:tabs>
          <w:tab w:val="left" w:pos="2880"/>
          <w:tab w:val="left" w:pos="3060"/>
        </w:tabs>
        <w:spacing w:before="0" w:beforeAutospacing="0" w:after="0" w:afterAutospacing="0" w:line="360" w:lineRule="auto"/>
        <w:ind w:left="330"/>
        <w:jc w:val="center"/>
        <w:rPr>
          <w:rFonts w:hint="eastAsia" w:ascii="仿宋_GB2312" w:eastAsia="仿宋_GB2312" w:cs="Arial"/>
          <w:b/>
          <w:bCs/>
          <w:sz w:val="32"/>
          <w:szCs w:val="32"/>
        </w:rPr>
      </w:pPr>
      <w:r>
        <w:rPr>
          <w:rFonts w:hint="eastAsia" w:ascii="仿宋_GB2312" w:eastAsia="仿宋_GB2312" w:cs="Arial"/>
          <w:b/>
          <w:bCs/>
          <w:sz w:val="32"/>
          <w:szCs w:val="32"/>
        </w:rPr>
        <w:t>第七章  附 则</w:t>
      </w:r>
    </w:p>
    <w:p w14:paraId="32AA054D">
      <w:pPr>
        <w:widowControl/>
        <w:shd w:val="clear" w:color="auto" w:fill="FFFFFF"/>
        <w:spacing w:line="360" w:lineRule="auto"/>
        <w:ind w:left="330" w:firstLine="643" w:firstLineChars="200"/>
        <w:jc w:val="left"/>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第二十条</w:t>
      </w:r>
      <w:r>
        <w:rPr>
          <w:rFonts w:hint="eastAsia" w:ascii="仿宋_GB2312" w:hAnsi="宋体" w:eastAsia="仿宋_GB2312" w:cs="宋体"/>
          <w:kern w:val="0"/>
          <w:sz w:val="32"/>
          <w:szCs w:val="32"/>
        </w:rPr>
        <w:t xml:space="preserve">  本办法中所列条款如与上级文件条款不一致时，按上级文件规定执行。</w:t>
      </w:r>
    </w:p>
    <w:p w14:paraId="297E2B15">
      <w:pPr>
        <w:ind w:left="330"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 xml:space="preserve">第二十一条 </w:t>
      </w:r>
      <w:r>
        <w:rPr>
          <w:rFonts w:hint="eastAsia" w:ascii="仿宋_GB2312" w:hAnsi="宋体" w:eastAsia="仿宋_GB2312" w:cs="宋体"/>
          <w:kern w:val="0"/>
          <w:sz w:val="32"/>
          <w:szCs w:val="32"/>
        </w:rPr>
        <w:t>本办法自公布之日起执行，由学院研究生奖助学金评审委员会负责解释。</w:t>
      </w:r>
    </w:p>
    <w:p w14:paraId="2524E267">
      <w:pPr>
        <w:widowControl/>
        <w:shd w:val="clear" w:color="auto" w:fill="FFFFFF"/>
        <w:spacing w:line="360" w:lineRule="auto"/>
        <w:ind w:left="330" w:firstLine="640" w:firstLineChars="200"/>
        <w:jc w:val="left"/>
        <w:rPr>
          <w:rFonts w:hint="eastAsia" w:ascii="仿宋_GB2312" w:eastAsia="仿宋_GB2312"/>
          <w:sz w:val="32"/>
          <w:szCs w:val="32"/>
        </w:rPr>
      </w:pPr>
    </w:p>
    <w:p w14:paraId="3971510E">
      <w:pPr>
        <w:ind w:left="330"/>
      </w:pPr>
    </w:p>
    <w:p w14:paraId="21FE0396">
      <w:pPr>
        <w:ind w:left="330"/>
      </w:pPr>
    </w:p>
    <w:p w14:paraId="48CC8732">
      <w:pPr>
        <w:ind w:left="330"/>
        <w:rPr>
          <w:rFonts w:hint="eastAsia" w:ascii="仿宋_GB2312" w:eastAsia="仿宋_GB2312"/>
          <w:sz w:val="32"/>
          <w:szCs w:val="32"/>
        </w:rPr>
      </w:pPr>
    </w:p>
    <w:p w14:paraId="687A7675">
      <w:pPr>
        <w:spacing w:line="480" w:lineRule="auto"/>
        <w:ind w:left="155" w:leftChars="74" w:firstLine="4320" w:firstLineChars="1350"/>
        <w:rPr>
          <w:rFonts w:ascii="仿宋_GB2312" w:hAnsi="宋体" w:eastAsia="仿宋_GB2312" w:cs="宋体"/>
          <w:kern w:val="0"/>
          <w:sz w:val="32"/>
          <w:szCs w:val="32"/>
        </w:rPr>
      </w:pPr>
      <w:r>
        <w:rPr>
          <w:rFonts w:ascii="仿宋_GB2312" w:hAnsi="宋体" w:eastAsia="仿宋_GB2312" w:cs="宋体"/>
          <w:kern w:val="0"/>
          <w:sz w:val="32"/>
          <w:szCs w:val="32"/>
        </w:rPr>
        <w:t>生命科学学院</w:t>
      </w:r>
      <w:r>
        <w:rPr>
          <w:rFonts w:hint="eastAsia" w:ascii="仿宋_GB2312" w:hAnsi="宋体" w:eastAsia="仿宋_GB2312" w:cs="宋体"/>
          <w:kern w:val="0"/>
          <w:sz w:val="32"/>
          <w:szCs w:val="32"/>
        </w:rPr>
        <w:t>党委</w:t>
      </w:r>
    </w:p>
    <w:p w14:paraId="56FC4AD9">
      <w:pPr>
        <w:spacing w:line="480" w:lineRule="auto"/>
        <w:ind w:left="330" w:firstLine="4160" w:firstLineChars="1300"/>
        <w:rPr>
          <w:rFonts w:ascii="仿宋_GB2312" w:hAnsi="宋体" w:eastAsia="仿宋_GB2312" w:cs="宋体"/>
          <w:kern w:val="0"/>
          <w:sz w:val="32"/>
          <w:szCs w:val="32"/>
        </w:rPr>
      </w:pPr>
      <w:r>
        <w:rPr>
          <w:rFonts w:ascii="仿宋_GB2312" w:hAnsi="宋体" w:eastAsia="仿宋_GB2312" w:cs="宋体"/>
          <w:kern w:val="0"/>
          <w:sz w:val="32"/>
          <w:szCs w:val="32"/>
        </w:rPr>
        <w:t>二○二</w:t>
      </w:r>
      <w:r>
        <w:rPr>
          <w:rFonts w:hint="eastAsia" w:ascii="仿宋_GB2312" w:hAnsi="宋体" w:eastAsia="仿宋_GB2312" w:cs="宋体"/>
          <w:kern w:val="0"/>
          <w:sz w:val="32"/>
          <w:szCs w:val="32"/>
        </w:rPr>
        <w:t>五</w:t>
      </w:r>
      <w:r>
        <w:rPr>
          <w:rFonts w:ascii="仿宋_GB2312" w:hAnsi="宋体" w:eastAsia="仿宋_GB2312" w:cs="宋体"/>
          <w:kern w:val="0"/>
          <w:sz w:val="32"/>
          <w:szCs w:val="32"/>
        </w:rPr>
        <w:t>年</w:t>
      </w:r>
      <w:r>
        <w:rPr>
          <w:rFonts w:hint="eastAsia" w:ascii="仿宋_GB2312" w:hAnsi="宋体" w:eastAsia="仿宋_GB2312" w:cs="宋体"/>
          <w:kern w:val="0"/>
          <w:sz w:val="32"/>
          <w:szCs w:val="32"/>
        </w:rPr>
        <w:t>九</w:t>
      </w:r>
      <w:r>
        <w:rPr>
          <w:rFonts w:ascii="仿宋_GB2312" w:hAnsi="宋体" w:eastAsia="仿宋_GB2312" w:cs="宋体"/>
          <w:kern w:val="0"/>
          <w:sz w:val="32"/>
          <w:szCs w:val="32"/>
        </w:rPr>
        <w:t>月</w:t>
      </w:r>
      <w:r>
        <w:rPr>
          <w:rFonts w:hint="eastAsia" w:ascii="仿宋_GB2312" w:hAnsi="宋体" w:eastAsia="仿宋_GB2312" w:cs="宋体"/>
          <w:kern w:val="0"/>
          <w:sz w:val="32"/>
          <w:szCs w:val="32"/>
        </w:rPr>
        <w:t>十六</w:t>
      </w:r>
      <w:r>
        <w:rPr>
          <w:rFonts w:ascii="仿宋_GB2312" w:hAnsi="宋体" w:eastAsia="仿宋_GB2312" w:cs="宋体"/>
          <w:kern w:val="0"/>
          <w:sz w:val="32"/>
          <w:szCs w:val="32"/>
        </w:rPr>
        <w:t>日</w:t>
      </w:r>
    </w:p>
    <w:p w14:paraId="5E7DB553">
      <w:pPr>
        <w:adjustRightInd w:val="0"/>
        <w:snapToGrid w:val="0"/>
        <w:spacing w:before="312" w:beforeLines="100" w:after="312" w:afterLines="100"/>
        <w:ind w:left="0" w:leftChars="0"/>
        <w:rPr>
          <w:rFonts w:hint="eastAsia"/>
          <w:b/>
          <w:bCs/>
          <w:sz w:val="32"/>
        </w:rPr>
      </w:pPr>
    </w:p>
    <w:p w14:paraId="060DF65A">
      <w:pPr>
        <w:adjustRightInd w:val="0"/>
        <w:snapToGrid w:val="0"/>
        <w:spacing w:before="312" w:beforeLines="100" w:after="312" w:afterLines="100"/>
        <w:ind w:left="330"/>
        <w:jc w:val="center"/>
        <w:rPr>
          <w:rFonts w:hint="eastAsia"/>
          <w:b/>
          <w:bCs/>
          <w:sz w:val="32"/>
        </w:rPr>
      </w:pPr>
      <w:r>
        <w:rPr>
          <w:b/>
          <w:bCs/>
          <w:sz w:val="32"/>
        </w:rPr>
        <w:br w:type="page"/>
      </w:r>
      <w:r>
        <w:rPr>
          <w:rFonts w:hint="eastAsia"/>
          <w:b/>
          <w:bCs/>
          <w:sz w:val="32"/>
        </w:rPr>
        <w:t>学科教学（生物）研究</w:t>
      </w:r>
      <w:r>
        <w:rPr>
          <w:b/>
          <w:bCs/>
          <w:sz w:val="32"/>
        </w:rPr>
        <w:t>生</w:t>
      </w:r>
      <w:r>
        <w:rPr>
          <w:rFonts w:hint="eastAsia"/>
          <w:b/>
          <w:bCs/>
          <w:sz w:val="32"/>
        </w:rPr>
        <w:t>国家奖学金评审表</w:t>
      </w:r>
    </w:p>
    <w:tbl>
      <w:tblPr>
        <w:tblStyle w:val="7"/>
        <w:tblW w:w="5216" w:type="pct"/>
        <w:tblInd w:w="-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02"/>
        <w:gridCol w:w="1174"/>
        <w:gridCol w:w="1472"/>
        <w:gridCol w:w="1487"/>
        <w:gridCol w:w="2514"/>
        <w:gridCol w:w="847"/>
      </w:tblGrid>
      <w:tr w14:paraId="467878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691" w:type="pct"/>
            <w:noWrap w:val="0"/>
            <w:vAlign w:val="center"/>
          </w:tcPr>
          <w:p w14:paraId="1EBE8B60">
            <w:pPr>
              <w:adjustRightInd w:val="0"/>
              <w:snapToGrid w:val="0"/>
              <w:ind w:left="155" w:leftChars="74"/>
              <w:rPr>
                <w:rFonts w:ascii="宋体"/>
                <w:color w:val="000000"/>
                <w:sz w:val="24"/>
              </w:rPr>
            </w:pPr>
            <w:r>
              <w:rPr>
                <w:rFonts w:ascii="宋体"/>
                <w:color w:val="000000"/>
                <w:sz w:val="24"/>
              </w:rPr>
              <w:t>姓</w:t>
            </w:r>
            <w:r>
              <w:rPr>
                <w:rFonts w:hint="eastAsia" w:ascii="宋体"/>
                <w:color w:val="000000"/>
                <w:sz w:val="24"/>
              </w:rPr>
              <w:t xml:space="preserve">  </w:t>
            </w:r>
            <w:r>
              <w:rPr>
                <w:rFonts w:ascii="宋体"/>
                <w:color w:val="000000"/>
                <w:sz w:val="24"/>
              </w:rPr>
              <w:t>名</w:t>
            </w:r>
          </w:p>
        </w:tc>
        <w:tc>
          <w:tcPr>
            <w:tcW w:w="675" w:type="pct"/>
            <w:noWrap w:val="0"/>
            <w:vAlign w:val="center"/>
          </w:tcPr>
          <w:p w14:paraId="148CE538">
            <w:pPr>
              <w:adjustRightInd w:val="0"/>
              <w:snapToGrid w:val="0"/>
              <w:ind w:left="330"/>
              <w:jc w:val="center"/>
              <w:rPr>
                <w:rFonts w:ascii="宋体"/>
                <w:color w:val="000000"/>
                <w:sz w:val="24"/>
              </w:rPr>
            </w:pPr>
          </w:p>
        </w:tc>
        <w:tc>
          <w:tcPr>
            <w:tcW w:w="846" w:type="pct"/>
            <w:noWrap w:val="0"/>
            <w:vAlign w:val="center"/>
          </w:tcPr>
          <w:p w14:paraId="015306D6">
            <w:pPr>
              <w:adjustRightInd w:val="0"/>
              <w:snapToGrid w:val="0"/>
              <w:ind w:left="330"/>
              <w:jc w:val="center"/>
              <w:rPr>
                <w:rFonts w:ascii="宋体"/>
                <w:color w:val="000000"/>
                <w:sz w:val="24"/>
              </w:rPr>
            </w:pPr>
            <w:r>
              <w:rPr>
                <w:rFonts w:hint="eastAsia" w:ascii="宋体"/>
                <w:color w:val="000000"/>
                <w:sz w:val="24"/>
              </w:rPr>
              <w:t>学科专业</w:t>
            </w:r>
          </w:p>
        </w:tc>
        <w:tc>
          <w:tcPr>
            <w:tcW w:w="855" w:type="pct"/>
            <w:noWrap w:val="0"/>
            <w:vAlign w:val="center"/>
          </w:tcPr>
          <w:p w14:paraId="5E7EE925">
            <w:pPr>
              <w:adjustRightInd w:val="0"/>
              <w:snapToGrid w:val="0"/>
              <w:ind w:left="330"/>
              <w:jc w:val="center"/>
              <w:rPr>
                <w:rFonts w:ascii="宋体"/>
                <w:color w:val="000000"/>
                <w:sz w:val="24"/>
              </w:rPr>
            </w:pPr>
          </w:p>
        </w:tc>
        <w:tc>
          <w:tcPr>
            <w:tcW w:w="1444" w:type="pct"/>
            <w:noWrap w:val="0"/>
            <w:vAlign w:val="center"/>
          </w:tcPr>
          <w:p w14:paraId="002AA930">
            <w:pPr>
              <w:adjustRightInd w:val="0"/>
              <w:snapToGrid w:val="0"/>
              <w:ind w:left="330"/>
              <w:jc w:val="center"/>
              <w:rPr>
                <w:rFonts w:hint="eastAsia" w:ascii="宋体"/>
                <w:color w:val="000000"/>
                <w:sz w:val="24"/>
              </w:rPr>
            </w:pPr>
            <w:r>
              <w:rPr>
                <w:rFonts w:hint="eastAsia" w:ascii="宋体"/>
                <w:color w:val="000000"/>
                <w:sz w:val="24"/>
              </w:rPr>
              <w:t>指导老师</w:t>
            </w:r>
          </w:p>
        </w:tc>
        <w:tc>
          <w:tcPr>
            <w:tcW w:w="486" w:type="pct"/>
            <w:noWrap w:val="0"/>
            <w:vAlign w:val="center"/>
          </w:tcPr>
          <w:p w14:paraId="6077A605">
            <w:pPr>
              <w:adjustRightInd w:val="0"/>
              <w:snapToGrid w:val="0"/>
              <w:ind w:left="330"/>
              <w:jc w:val="center"/>
              <w:rPr>
                <w:rFonts w:ascii="宋体"/>
                <w:color w:val="000000"/>
                <w:sz w:val="24"/>
              </w:rPr>
            </w:pPr>
          </w:p>
        </w:tc>
      </w:tr>
      <w:tr w14:paraId="36A9E6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691" w:type="pct"/>
            <w:noWrap w:val="0"/>
            <w:vAlign w:val="center"/>
          </w:tcPr>
          <w:p w14:paraId="1CE8D469">
            <w:pPr>
              <w:adjustRightInd w:val="0"/>
              <w:snapToGrid w:val="0"/>
              <w:ind w:left="0" w:leftChars="0"/>
              <w:jc w:val="left"/>
              <w:rPr>
                <w:rFonts w:hint="eastAsia" w:ascii="宋体"/>
                <w:color w:val="000000"/>
                <w:sz w:val="24"/>
              </w:rPr>
            </w:pPr>
            <w:r>
              <w:rPr>
                <w:rFonts w:hint="eastAsia" w:ascii="宋体"/>
                <w:color w:val="000000"/>
                <w:sz w:val="24"/>
              </w:rPr>
              <w:t>评分内容</w:t>
            </w:r>
          </w:p>
        </w:tc>
        <w:tc>
          <w:tcPr>
            <w:tcW w:w="3821" w:type="pct"/>
            <w:gridSpan w:val="4"/>
            <w:noWrap w:val="0"/>
            <w:vAlign w:val="center"/>
          </w:tcPr>
          <w:p w14:paraId="3FAB4892">
            <w:pPr>
              <w:adjustRightInd w:val="0"/>
              <w:snapToGrid w:val="0"/>
              <w:ind w:left="330"/>
              <w:jc w:val="center"/>
              <w:rPr>
                <w:rFonts w:ascii="宋体"/>
                <w:color w:val="000000"/>
                <w:sz w:val="24"/>
              </w:rPr>
            </w:pPr>
            <w:r>
              <w:rPr>
                <w:rFonts w:ascii="宋体"/>
                <w:color w:val="000000"/>
                <w:sz w:val="24"/>
              </w:rPr>
              <w:t>评价</w:t>
            </w:r>
            <w:r>
              <w:rPr>
                <w:rFonts w:hint="eastAsia" w:ascii="宋体"/>
                <w:color w:val="000000"/>
                <w:sz w:val="24"/>
              </w:rPr>
              <w:t>指标、评分</w:t>
            </w:r>
            <w:r>
              <w:rPr>
                <w:rFonts w:ascii="宋体"/>
                <w:color w:val="000000"/>
                <w:sz w:val="24"/>
              </w:rPr>
              <w:t>标准</w:t>
            </w:r>
          </w:p>
        </w:tc>
        <w:tc>
          <w:tcPr>
            <w:tcW w:w="486" w:type="pct"/>
            <w:noWrap w:val="0"/>
            <w:vAlign w:val="center"/>
          </w:tcPr>
          <w:p w14:paraId="5A6B0B83">
            <w:pPr>
              <w:adjustRightInd w:val="0"/>
              <w:snapToGrid w:val="0"/>
              <w:ind w:left="0" w:leftChars="0"/>
              <w:rPr>
                <w:rFonts w:hint="eastAsia" w:ascii="宋体"/>
                <w:color w:val="000000"/>
                <w:sz w:val="24"/>
              </w:rPr>
            </w:pPr>
            <w:r>
              <w:rPr>
                <w:rFonts w:hint="eastAsia" w:ascii="宋体"/>
                <w:color w:val="000000"/>
                <w:sz w:val="24"/>
              </w:rPr>
              <w:t>得分</w:t>
            </w:r>
          </w:p>
        </w:tc>
      </w:tr>
      <w:tr w14:paraId="19D3F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816" w:hRule="atLeast"/>
        </w:trPr>
        <w:tc>
          <w:tcPr>
            <w:tcW w:w="691" w:type="pct"/>
            <w:noWrap w:val="0"/>
            <w:vAlign w:val="center"/>
          </w:tcPr>
          <w:p w14:paraId="1070DAD6">
            <w:pPr>
              <w:pStyle w:val="15"/>
              <w:adjustRightInd w:val="0"/>
              <w:snapToGrid w:val="0"/>
              <w:spacing w:before="0" w:beforeAutospacing="0" w:after="0" w:afterAutospacing="0" w:line="240" w:lineRule="atLeast"/>
              <w:jc w:val="center"/>
              <w:rPr>
                <w:rFonts w:ascii="宋体" w:hAnsi="宋体" w:eastAsia="宋体" w:cs="Times New Roman"/>
                <w:kern w:val="2"/>
                <w:sz w:val="24"/>
                <w:szCs w:val="24"/>
              </w:rPr>
            </w:pPr>
            <w:r>
              <w:rPr>
                <w:rFonts w:hint="eastAsia"/>
                <w:sz w:val="24"/>
              </w:rPr>
              <w:t>政治思想表现</w:t>
            </w:r>
            <w:r>
              <w:rPr>
                <w:rFonts w:hint="eastAsia" w:eastAsia="宋体"/>
                <w:sz w:val="24"/>
              </w:rPr>
              <w:t>（10%）</w:t>
            </w:r>
          </w:p>
        </w:tc>
        <w:tc>
          <w:tcPr>
            <w:tcW w:w="3821" w:type="pct"/>
            <w:gridSpan w:val="4"/>
            <w:noWrap w:val="0"/>
            <w:vAlign w:val="center"/>
          </w:tcPr>
          <w:p w14:paraId="2BB840EC">
            <w:pPr>
              <w:spacing w:line="240" w:lineRule="auto"/>
              <w:ind w:left="330"/>
              <w:rPr>
                <w:rFonts w:hint="eastAsia" w:ascii="宋体" w:hAnsi="宋体"/>
                <w:color w:val="000000"/>
                <w:sz w:val="24"/>
              </w:rPr>
            </w:pPr>
            <w:r>
              <w:rPr>
                <w:rFonts w:hint="eastAsia"/>
                <w:sz w:val="24"/>
              </w:rPr>
              <w:t>采取研究生互评及辅导员监督打分方式，包括上课情况、年级活动、平时表现等。</w:t>
            </w:r>
          </w:p>
        </w:tc>
        <w:tc>
          <w:tcPr>
            <w:tcW w:w="486" w:type="pct"/>
            <w:noWrap w:val="0"/>
            <w:vAlign w:val="top"/>
          </w:tcPr>
          <w:p w14:paraId="448C7E11">
            <w:pPr>
              <w:adjustRightInd w:val="0"/>
              <w:snapToGrid w:val="0"/>
              <w:ind w:left="330"/>
              <w:jc w:val="center"/>
              <w:rPr>
                <w:rFonts w:hint="eastAsia" w:ascii="仿宋_GB2312" w:eastAsia="仿宋_GB2312"/>
                <w:color w:val="000000"/>
              </w:rPr>
            </w:pPr>
          </w:p>
        </w:tc>
      </w:tr>
      <w:tr w14:paraId="075B7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691" w:type="pct"/>
            <w:noWrap w:val="0"/>
            <w:vAlign w:val="center"/>
          </w:tcPr>
          <w:p w14:paraId="726CB5E3">
            <w:pPr>
              <w:pStyle w:val="15"/>
              <w:adjustRightInd w:val="0"/>
              <w:snapToGrid w:val="0"/>
              <w:spacing w:before="0" w:beforeAutospacing="0" w:after="0" w:afterAutospacing="0" w:line="240" w:lineRule="auto"/>
              <w:jc w:val="center"/>
              <w:rPr>
                <w:rFonts w:hint="eastAsia" w:eastAsia="宋体"/>
                <w:sz w:val="24"/>
              </w:rPr>
            </w:pPr>
            <w:r>
              <w:rPr>
                <w:rFonts w:hint="eastAsia" w:eastAsia="宋体"/>
                <w:sz w:val="24"/>
              </w:rPr>
              <w:t>课程成绩（20%）</w:t>
            </w:r>
          </w:p>
        </w:tc>
        <w:tc>
          <w:tcPr>
            <w:tcW w:w="3821" w:type="pct"/>
            <w:gridSpan w:val="4"/>
            <w:noWrap w:val="0"/>
            <w:vAlign w:val="center"/>
          </w:tcPr>
          <w:p w14:paraId="5D82A786">
            <w:pPr>
              <w:spacing w:line="240" w:lineRule="auto"/>
              <w:ind w:left="330" w:firstLine="120" w:firstLineChars="50"/>
              <w:rPr>
                <w:rFonts w:hint="eastAsia" w:ascii="宋体" w:hAnsi="宋体"/>
                <w:b/>
                <w:color w:val="000000"/>
                <w:sz w:val="24"/>
              </w:rPr>
            </w:pPr>
            <w:r>
              <w:rPr>
                <w:rFonts w:hint="eastAsia"/>
                <w:color w:val="000000"/>
                <w:sz w:val="24"/>
              </w:rPr>
              <w:t>指</w:t>
            </w:r>
            <w:r>
              <w:rPr>
                <w:color w:val="000000"/>
                <w:sz w:val="24"/>
              </w:rPr>
              <w:t>学位课程成绩</w:t>
            </w:r>
            <w:r>
              <w:rPr>
                <w:rFonts w:hint="eastAsia"/>
                <w:color w:val="000000"/>
                <w:sz w:val="24"/>
              </w:rPr>
              <w:t>。</w:t>
            </w:r>
          </w:p>
        </w:tc>
        <w:tc>
          <w:tcPr>
            <w:tcW w:w="486" w:type="pct"/>
            <w:noWrap w:val="0"/>
            <w:vAlign w:val="top"/>
          </w:tcPr>
          <w:p w14:paraId="14EBF7BB">
            <w:pPr>
              <w:adjustRightInd w:val="0"/>
              <w:snapToGrid w:val="0"/>
              <w:ind w:left="330"/>
              <w:jc w:val="center"/>
              <w:rPr>
                <w:rFonts w:hint="eastAsia" w:ascii="仿宋_GB2312" w:eastAsia="仿宋_GB2312"/>
                <w:color w:val="000000"/>
              </w:rPr>
            </w:pPr>
          </w:p>
        </w:tc>
      </w:tr>
      <w:tr w14:paraId="6BA6F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5" w:hRule="atLeast"/>
        </w:trPr>
        <w:tc>
          <w:tcPr>
            <w:tcW w:w="691" w:type="pct"/>
            <w:noWrap w:val="0"/>
            <w:vAlign w:val="center"/>
          </w:tcPr>
          <w:p w14:paraId="3B8C6131">
            <w:pPr>
              <w:pStyle w:val="15"/>
              <w:adjustRightInd w:val="0"/>
              <w:snapToGrid w:val="0"/>
              <w:spacing w:before="0" w:beforeAutospacing="0" w:after="0" w:afterAutospacing="0" w:line="240" w:lineRule="auto"/>
              <w:jc w:val="center"/>
              <w:rPr>
                <w:rFonts w:ascii="宋体" w:hAnsi="宋体" w:eastAsia="宋体"/>
                <w:sz w:val="24"/>
                <w:szCs w:val="24"/>
              </w:rPr>
            </w:pPr>
            <w:r>
              <w:rPr>
                <w:rFonts w:hint="eastAsia" w:ascii="宋体" w:hAnsi="宋体" w:eastAsia="宋体" w:cs="Times New Roman"/>
                <w:kern w:val="2"/>
                <w:sz w:val="24"/>
                <w:szCs w:val="24"/>
              </w:rPr>
              <w:t>其他加分（10%）</w:t>
            </w:r>
          </w:p>
        </w:tc>
        <w:tc>
          <w:tcPr>
            <w:tcW w:w="3821" w:type="pct"/>
            <w:gridSpan w:val="4"/>
            <w:noWrap w:val="0"/>
            <w:vAlign w:val="center"/>
          </w:tcPr>
          <w:p w14:paraId="67A9C2D6">
            <w:pPr>
              <w:spacing w:before="0" w:line="240" w:lineRule="auto"/>
              <w:ind w:left="0" w:leftChars="0" w:right="0"/>
              <w:rPr>
                <w:rFonts w:hint="eastAsia" w:ascii="宋体" w:hAnsi="宋体"/>
                <w:color w:val="000000"/>
                <w:sz w:val="24"/>
                <w:szCs w:val="24"/>
              </w:rPr>
            </w:pPr>
            <w:r>
              <w:rPr>
                <w:rFonts w:hint="eastAsia" w:ascii="宋体" w:hAnsi="宋体"/>
                <w:color w:val="000000"/>
                <w:sz w:val="24"/>
                <w:szCs w:val="24"/>
              </w:rPr>
              <w:t>1. 学生干部（班长、团支书各5分，其他学生干部2分）；</w:t>
            </w:r>
          </w:p>
          <w:p w14:paraId="48F909CD">
            <w:pPr>
              <w:spacing w:before="0" w:line="240" w:lineRule="auto"/>
              <w:ind w:left="0" w:leftChars="0" w:right="0"/>
              <w:rPr>
                <w:rFonts w:hint="eastAsia" w:ascii="宋体" w:hAnsi="宋体"/>
                <w:color w:val="000000"/>
                <w:sz w:val="24"/>
                <w:szCs w:val="24"/>
              </w:rPr>
            </w:pPr>
            <w:r>
              <w:rPr>
                <w:rFonts w:hint="eastAsia" w:ascii="宋体" w:hAnsi="宋体"/>
                <w:color w:val="000000"/>
                <w:sz w:val="24"/>
                <w:szCs w:val="24"/>
              </w:rPr>
              <w:t>2. 国家级竞赛获奖  +30分/次；</w:t>
            </w:r>
          </w:p>
          <w:p w14:paraId="40014068">
            <w:pPr>
              <w:spacing w:before="0" w:line="240" w:lineRule="auto"/>
              <w:ind w:left="0" w:leftChars="0" w:right="0"/>
              <w:rPr>
                <w:rFonts w:hint="eastAsia" w:ascii="宋体" w:hAnsi="宋体"/>
                <w:color w:val="000000"/>
                <w:sz w:val="24"/>
                <w:szCs w:val="24"/>
              </w:rPr>
            </w:pPr>
            <w:r>
              <w:rPr>
                <w:rFonts w:hint="eastAsia" w:ascii="宋体" w:hAnsi="宋体"/>
                <w:color w:val="000000"/>
                <w:sz w:val="24"/>
                <w:szCs w:val="24"/>
              </w:rPr>
              <w:t>3. 省级竞赛获奖  +20分/次；</w:t>
            </w:r>
          </w:p>
          <w:p w14:paraId="0AF4E95E">
            <w:pPr>
              <w:spacing w:before="0" w:line="240" w:lineRule="auto"/>
              <w:ind w:left="0" w:leftChars="0" w:right="0"/>
              <w:rPr>
                <w:rFonts w:hint="eastAsia" w:ascii="宋体" w:hAnsi="宋体"/>
                <w:color w:val="000000"/>
                <w:sz w:val="24"/>
                <w:szCs w:val="24"/>
              </w:rPr>
            </w:pPr>
            <w:r>
              <w:rPr>
                <w:rFonts w:hint="eastAsia" w:ascii="宋体" w:hAnsi="宋体"/>
                <w:color w:val="000000"/>
                <w:sz w:val="24"/>
                <w:szCs w:val="24"/>
              </w:rPr>
              <w:t>4. 校级竞赛获奖  +5分/次；</w:t>
            </w:r>
          </w:p>
          <w:p w14:paraId="2E91D5FE">
            <w:pPr>
              <w:spacing w:before="0" w:line="240" w:lineRule="auto"/>
              <w:ind w:left="0" w:leftChars="0" w:right="0"/>
              <w:rPr>
                <w:rFonts w:hint="eastAsia" w:ascii="宋体" w:hAnsi="宋体"/>
                <w:color w:val="000000"/>
                <w:sz w:val="24"/>
                <w:szCs w:val="24"/>
              </w:rPr>
            </w:pPr>
            <w:r>
              <w:rPr>
                <w:rFonts w:hint="eastAsia" w:ascii="宋体" w:hAnsi="宋体"/>
                <w:color w:val="000000"/>
                <w:sz w:val="24"/>
                <w:szCs w:val="24"/>
              </w:rPr>
              <w:t>5. 主持校研究生创新基金项目 +5分/次。</w:t>
            </w:r>
          </w:p>
          <w:p w14:paraId="4E4F9AB4">
            <w:pPr>
              <w:spacing w:before="0" w:line="240" w:lineRule="auto"/>
              <w:ind w:left="0" w:leftChars="0" w:right="0"/>
              <w:rPr>
                <w:rFonts w:hint="eastAsia" w:ascii="宋体" w:hAnsi="宋体"/>
                <w:color w:val="000000"/>
                <w:sz w:val="24"/>
                <w:szCs w:val="24"/>
              </w:rPr>
            </w:pPr>
            <w:r>
              <w:rPr>
                <w:rFonts w:hint="eastAsia" w:ascii="宋体" w:hAnsi="宋体"/>
                <w:color w:val="000000"/>
                <w:sz w:val="24"/>
                <w:szCs w:val="24"/>
              </w:rPr>
              <w:t>6. 参加学术会议获奖：国家级，+6分/项；省级，+3分/项。</w:t>
            </w:r>
          </w:p>
          <w:p w14:paraId="7F92AB8D">
            <w:pPr>
              <w:spacing w:before="0" w:line="240" w:lineRule="auto"/>
              <w:ind w:left="0" w:leftChars="0" w:right="0"/>
              <w:rPr>
                <w:rFonts w:hint="eastAsia" w:ascii="宋体" w:hAnsi="宋体"/>
                <w:color w:val="000000"/>
                <w:sz w:val="24"/>
                <w:szCs w:val="24"/>
              </w:rPr>
            </w:pPr>
            <w:r>
              <w:rPr>
                <w:rFonts w:hint="eastAsia" w:ascii="宋体" w:hAnsi="宋体"/>
                <w:color w:val="000000"/>
                <w:sz w:val="24"/>
                <w:szCs w:val="24"/>
              </w:rPr>
              <w:t>7. 参加学术会议墙报获奖：国家级，+3分/项；省级，+1.5分/项。</w:t>
            </w:r>
          </w:p>
          <w:p w14:paraId="3DDC488E">
            <w:pPr>
              <w:spacing w:before="0" w:line="240" w:lineRule="auto"/>
              <w:ind w:left="0" w:leftChars="0" w:right="0"/>
              <w:rPr>
                <w:rFonts w:hint="eastAsia" w:ascii="宋体" w:hAnsi="宋体"/>
                <w:color w:val="000000"/>
                <w:sz w:val="24"/>
                <w:szCs w:val="24"/>
              </w:rPr>
            </w:pPr>
            <w:r>
              <w:rPr>
                <w:rFonts w:hint="eastAsia" w:ascii="宋体" w:hAnsi="宋体"/>
                <w:color w:val="000000"/>
                <w:sz w:val="24"/>
                <w:szCs w:val="24"/>
              </w:rPr>
              <w:t>8. 获得政府或学校表彰的荣誉称号：国家级，+30分/项，省级，+20分/项；市级/校级，+5分/项；院级，+2分/项。</w:t>
            </w:r>
          </w:p>
          <w:p w14:paraId="67E7529E">
            <w:pPr>
              <w:spacing w:before="0" w:line="240" w:lineRule="auto"/>
              <w:ind w:left="0" w:leftChars="0" w:right="0"/>
              <w:rPr>
                <w:rFonts w:hint="eastAsia" w:ascii="宋体" w:hAnsi="宋体"/>
                <w:color w:val="000000"/>
                <w:sz w:val="24"/>
                <w:szCs w:val="24"/>
              </w:rPr>
            </w:pPr>
            <w:r>
              <w:rPr>
                <w:rFonts w:hint="eastAsia" w:ascii="宋体" w:hAnsi="宋体"/>
                <w:sz w:val="24"/>
                <w:szCs w:val="24"/>
              </w:rPr>
              <w:t>9.作为项目负责人获批大学生创新创业项目：国家级 +10分/项；省级+5分/项。</w:t>
            </w:r>
          </w:p>
        </w:tc>
        <w:tc>
          <w:tcPr>
            <w:tcW w:w="486" w:type="pct"/>
            <w:noWrap w:val="0"/>
            <w:vAlign w:val="top"/>
          </w:tcPr>
          <w:p w14:paraId="1B4D279E">
            <w:pPr>
              <w:adjustRightInd w:val="0"/>
              <w:snapToGrid w:val="0"/>
              <w:ind w:left="330"/>
              <w:jc w:val="center"/>
              <w:rPr>
                <w:rFonts w:hint="eastAsia" w:ascii="仿宋_GB2312" w:eastAsia="仿宋_GB2312"/>
                <w:color w:val="000000"/>
              </w:rPr>
            </w:pPr>
          </w:p>
        </w:tc>
      </w:tr>
      <w:tr w14:paraId="5527D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691" w:type="pct"/>
            <w:vMerge w:val="restart"/>
            <w:noWrap w:val="0"/>
            <w:vAlign w:val="center"/>
          </w:tcPr>
          <w:p w14:paraId="17C2B051">
            <w:pPr>
              <w:spacing w:before="0" w:line="240" w:lineRule="auto"/>
              <w:ind w:left="0" w:leftChars="0" w:right="0"/>
              <w:jc w:val="left"/>
              <w:rPr>
                <w:rFonts w:hint="eastAsia" w:ascii="宋体" w:hAnsi="宋体"/>
                <w:color w:val="000000"/>
                <w:sz w:val="24"/>
              </w:rPr>
            </w:pPr>
            <w:r>
              <w:rPr>
                <w:rFonts w:hint="eastAsia"/>
                <w:color w:val="000000"/>
                <w:sz w:val="24"/>
              </w:rPr>
              <w:t>教、科研情况（</w:t>
            </w:r>
            <w:r>
              <w:rPr>
                <w:rFonts w:hint="eastAsia" w:ascii="宋体" w:hAnsi="宋体"/>
                <w:color w:val="000000"/>
                <w:sz w:val="24"/>
              </w:rPr>
              <w:t>论文、专利与科研获奖）</w:t>
            </w:r>
            <w:r>
              <w:rPr>
                <w:rFonts w:hint="eastAsia"/>
                <w:color w:val="000000"/>
                <w:sz w:val="24"/>
              </w:rPr>
              <w:t>（60%分）</w:t>
            </w:r>
          </w:p>
        </w:tc>
        <w:tc>
          <w:tcPr>
            <w:tcW w:w="3821" w:type="pct"/>
            <w:gridSpan w:val="4"/>
            <w:noWrap w:val="0"/>
            <w:vAlign w:val="top"/>
          </w:tcPr>
          <w:p w14:paraId="45A6DBE3">
            <w:pPr>
              <w:spacing w:before="0" w:line="240" w:lineRule="auto"/>
              <w:ind w:left="0" w:leftChars="0" w:right="0"/>
              <w:rPr>
                <w:rFonts w:hint="eastAsia"/>
                <w:color w:val="000000"/>
                <w:sz w:val="24"/>
              </w:rPr>
            </w:pPr>
            <w:r>
              <w:rPr>
                <w:rFonts w:hint="eastAsia" w:ascii="宋体" w:hAnsi="宋体"/>
                <w:b/>
                <w:color w:val="000000"/>
                <w:sz w:val="24"/>
              </w:rPr>
              <w:t>1.一类论文：</w:t>
            </w:r>
            <w:r>
              <w:rPr>
                <w:rFonts w:hint="eastAsia"/>
                <w:color w:val="000000"/>
                <w:sz w:val="24"/>
              </w:rPr>
              <w:t>40 分/篇。</w:t>
            </w:r>
          </w:p>
        </w:tc>
        <w:tc>
          <w:tcPr>
            <w:tcW w:w="486" w:type="pct"/>
            <w:noWrap w:val="0"/>
            <w:vAlign w:val="top"/>
          </w:tcPr>
          <w:p w14:paraId="657639FD">
            <w:pPr>
              <w:adjustRightInd w:val="0"/>
              <w:snapToGrid w:val="0"/>
              <w:ind w:left="330"/>
              <w:jc w:val="center"/>
              <w:rPr>
                <w:rFonts w:hint="eastAsia" w:ascii="仿宋_GB2312" w:eastAsia="仿宋_GB2312"/>
                <w:color w:val="000000"/>
              </w:rPr>
            </w:pPr>
          </w:p>
        </w:tc>
      </w:tr>
      <w:tr w14:paraId="30A9F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35" w:hRule="atLeast"/>
        </w:trPr>
        <w:tc>
          <w:tcPr>
            <w:tcW w:w="691" w:type="pct"/>
            <w:vMerge w:val="continue"/>
            <w:noWrap w:val="0"/>
            <w:vAlign w:val="center"/>
          </w:tcPr>
          <w:p w14:paraId="3B46BA6D">
            <w:pPr>
              <w:spacing w:before="0" w:line="240" w:lineRule="auto"/>
              <w:ind w:left="330"/>
              <w:jc w:val="left"/>
              <w:rPr>
                <w:rFonts w:hint="eastAsia"/>
                <w:color w:val="000000"/>
                <w:sz w:val="24"/>
              </w:rPr>
            </w:pPr>
          </w:p>
        </w:tc>
        <w:tc>
          <w:tcPr>
            <w:tcW w:w="3821" w:type="pct"/>
            <w:gridSpan w:val="4"/>
            <w:noWrap w:val="0"/>
            <w:vAlign w:val="top"/>
          </w:tcPr>
          <w:p w14:paraId="5612126C">
            <w:pPr>
              <w:spacing w:before="0" w:line="240" w:lineRule="auto"/>
              <w:ind w:left="0" w:leftChars="0" w:right="0"/>
              <w:rPr>
                <w:rFonts w:hint="eastAsia"/>
                <w:b/>
                <w:color w:val="000000"/>
                <w:sz w:val="24"/>
              </w:rPr>
            </w:pPr>
            <w:r>
              <w:rPr>
                <w:rFonts w:hint="eastAsia"/>
                <w:b/>
                <w:color w:val="000000"/>
                <w:sz w:val="24"/>
              </w:rPr>
              <w:t>2．二类论文：</w:t>
            </w:r>
            <w:r>
              <w:rPr>
                <w:rFonts w:hint="eastAsia"/>
                <w:color w:val="FF0000"/>
                <w:sz w:val="24"/>
              </w:rPr>
              <w:t>30</w:t>
            </w:r>
            <w:r>
              <w:rPr>
                <w:rFonts w:hint="eastAsia"/>
                <w:color w:val="000000"/>
                <w:sz w:val="24"/>
              </w:rPr>
              <w:t>分/篇。</w:t>
            </w:r>
          </w:p>
        </w:tc>
        <w:tc>
          <w:tcPr>
            <w:tcW w:w="486" w:type="pct"/>
            <w:noWrap w:val="0"/>
            <w:vAlign w:val="top"/>
          </w:tcPr>
          <w:p w14:paraId="16026E36">
            <w:pPr>
              <w:adjustRightInd w:val="0"/>
              <w:snapToGrid w:val="0"/>
              <w:ind w:left="330"/>
              <w:jc w:val="center"/>
              <w:rPr>
                <w:rFonts w:hint="eastAsia" w:ascii="仿宋_GB2312" w:eastAsia="仿宋_GB2312"/>
                <w:color w:val="000000"/>
              </w:rPr>
            </w:pPr>
          </w:p>
        </w:tc>
      </w:tr>
      <w:tr w14:paraId="207A8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691" w:type="pct"/>
            <w:vMerge w:val="continue"/>
            <w:noWrap w:val="0"/>
            <w:vAlign w:val="center"/>
          </w:tcPr>
          <w:p w14:paraId="00F40EB1">
            <w:pPr>
              <w:spacing w:before="0" w:line="240" w:lineRule="auto"/>
              <w:ind w:left="330"/>
              <w:jc w:val="left"/>
              <w:rPr>
                <w:rFonts w:hint="eastAsia"/>
                <w:color w:val="000000"/>
                <w:sz w:val="24"/>
              </w:rPr>
            </w:pPr>
          </w:p>
        </w:tc>
        <w:tc>
          <w:tcPr>
            <w:tcW w:w="3821" w:type="pct"/>
            <w:gridSpan w:val="4"/>
            <w:noWrap w:val="0"/>
            <w:vAlign w:val="top"/>
          </w:tcPr>
          <w:p w14:paraId="3D4234B3">
            <w:pPr>
              <w:spacing w:before="0" w:line="240" w:lineRule="auto"/>
              <w:ind w:left="0" w:leftChars="0" w:right="0"/>
              <w:rPr>
                <w:rFonts w:hint="eastAsia" w:ascii="宋体" w:hAnsi="宋体"/>
                <w:b/>
                <w:color w:val="000000"/>
                <w:sz w:val="24"/>
              </w:rPr>
            </w:pPr>
            <w:r>
              <w:rPr>
                <w:rFonts w:hint="eastAsia"/>
                <w:b/>
                <w:color w:val="000000"/>
                <w:sz w:val="24"/>
              </w:rPr>
              <w:t>3．三类论文：</w:t>
            </w:r>
            <w:r>
              <w:rPr>
                <w:rFonts w:hint="eastAsia"/>
                <w:b/>
                <w:color w:val="FF0000"/>
                <w:sz w:val="24"/>
              </w:rPr>
              <w:t>20</w:t>
            </w:r>
            <w:r>
              <w:rPr>
                <w:rFonts w:hint="eastAsia"/>
                <w:color w:val="000000"/>
                <w:sz w:val="24"/>
              </w:rPr>
              <w:t>分/篇。</w:t>
            </w:r>
          </w:p>
        </w:tc>
        <w:tc>
          <w:tcPr>
            <w:tcW w:w="486" w:type="pct"/>
            <w:noWrap w:val="0"/>
            <w:vAlign w:val="top"/>
          </w:tcPr>
          <w:p w14:paraId="7A66AF99">
            <w:pPr>
              <w:adjustRightInd w:val="0"/>
              <w:snapToGrid w:val="0"/>
              <w:ind w:left="330"/>
              <w:jc w:val="center"/>
              <w:rPr>
                <w:rFonts w:hint="eastAsia" w:ascii="仿宋_GB2312" w:eastAsia="仿宋_GB2312"/>
                <w:color w:val="000000"/>
              </w:rPr>
            </w:pPr>
          </w:p>
        </w:tc>
      </w:tr>
      <w:tr w14:paraId="1626D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8" w:hRule="atLeast"/>
        </w:trPr>
        <w:tc>
          <w:tcPr>
            <w:tcW w:w="691" w:type="pct"/>
            <w:vMerge w:val="continue"/>
            <w:noWrap w:val="0"/>
            <w:vAlign w:val="center"/>
          </w:tcPr>
          <w:p w14:paraId="72F9E0B5">
            <w:pPr>
              <w:spacing w:before="0" w:line="240" w:lineRule="auto"/>
              <w:ind w:left="330"/>
              <w:jc w:val="left"/>
              <w:rPr>
                <w:rFonts w:hint="eastAsia"/>
                <w:color w:val="000000"/>
                <w:sz w:val="24"/>
              </w:rPr>
            </w:pPr>
          </w:p>
        </w:tc>
        <w:tc>
          <w:tcPr>
            <w:tcW w:w="3821" w:type="pct"/>
            <w:gridSpan w:val="4"/>
            <w:noWrap w:val="0"/>
            <w:vAlign w:val="top"/>
          </w:tcPr>
          <w:p w14:paraId="6305FA63">
            <w:pPr>
              <w:spacing w:before="0" w:line="240" w:lineRule="auto"/>
              <w:ind w:left="0" w:leftChars="0" w:right="0"/>
              <w:rPr>
                <w:rFonts w:hint="eastAsia"/>
                <w:b/>
                <w:color w:val="000000"/>
                <w:sz w:val="24"/>
              </w:rPr>
            </w:pPr>
            <w:r>
              <w:rPr>
                <w:rFonts w:hint="eastAsia"/>
                <w:b/>
                <w:color w:val="000000"/>
                <w:sz w:val="24"/>
              </w:rPr>
              <w:t>4．四类论文：3</w:t>
            </w:r>
            <w:r>
              <w:rPr>
                <w:rFonts w:hint="eastAsia"/>
                <w:color w:val="000000"/>
                <w:sz w:val="24"/>
              </w:rPr>
              <w:t>分/篇。</w:t>
            </w:r>
          </w:p>
        </w:tc>
        <w:tc>
          <w:tcPr>
            <w:tcW w:w="486" w:type="pct"/>
            <w:noWrap w:val="0"/>
            <w:vAlign w:val="top"/>
          </w:tcPr>
          <w:p w14:paraId="6466025A">
            <w:pPr>
              <w:adjustRightInd w:val="0"/>
              <w:snapToGrid w:val="0"/>
              <w:ind w:left="330"/>
              <w:jc w:val="center"/>
              <w:rPr>
                <w:rFonts w:hint="eastAsia" w:ascii="仿宋_GB2312" w:eastAsia="仿宋_GB2312"/>
                <w:color w:val="000000"/>
              </w:rPr>
            </w:pPr>
          </w:p>
        </w:tc>
      </w:tr>
      <w:tr w14:paraId="7A620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78" w:hRule="atLeast"/>
        </w:trPr>
        <w:tc>
          <w:tcPr>
            <w:tcW w:w="691" w:type="pct"/>
            <w:vMerge w:val="continue"/>
            <w:noWrap w:val="0"/>
            <w:vAlign w:val="center"/>
          </w:tcPr>
          <w:p w14:paraId="70025BF3">
            <w:pPr>
              <w:spacing w:before="0" w:line="240" w:lineRule="auto"/>
              <w:ind w:left="330"/>
              <w:jc w:val="left"/>
              <w:rPr>
                <w:rFonts w:hint="eastAsia"/>
                <w:color w:val="000000"/>
                <w:sz w:val="24"/>
              </w:rPr>
            </w:pPr>
          </w:p>
        </w:tc>
        <w:tc>
          <w:tcPr>
            <w:tcW w:w="3821" w:type="pct"/>
            <w:gridSpan w:val="4"/>
            <w:noWrap w:val="0"/>
            <w:vAlign w:val="top"/>
          </w:tcPr>
          <w:p w14:paraId="2B237DB7">
            <w:pPr>
              <w:spacing w:before="0" w:line="240" w:lineRule="auto"/>
              <w:ind w:left="0" w:leftChars="0" w:right="0"/>
              <w:rPr>
                <w:rFonts w:ascii="宋体" w:hAnsi="宋体" w:cs="宋体"/>
                <w:color w:val="000000"/>
                <w:sz w:val="24"/>
                <w:szCs w:val="24"/>
              </w:rPr>
            </w:pPr>
            <w:r>
              <w:rPr>
                <w:rFonts w:hint="eastAsia" w:ascii="宋体" w:hAnsi="宋体"/>
                <w:b/>
                <w:bCs/>
                <w:color w:val="000000"/>
                <w:sz w:val="24"/>
                <w:szCs w:val="24"/>
              </w:rPr>
              <w:t>5. 案例和专利</w:t>
            </w:r>
          </w:p>
          <w:p w14:paraId="4DC14488">
            <w:pPr>
              <w:spacing w:before="0" w:line="240" w:lineRule="auto"/>
              <w:ind w:left="0" w:leftChars="0" w:right="0"/>
              <w:rPr>
                <w:rFonts w:hint="eastAsia"/>
                <w:b/>
                <w:color w:val="000000"/>
                <w:sz w:val="24"/>
              </w:rPr>
            </w:pPr>
            <w:r>
              <w:rPr>
                <w:rFonts w:hint="eastAsia" w:ascii="宋体" w:hAnsi="宋体"/>
                <w:color w:val="000000"/>
                <w:sz w:val="24"/>
                <w:szCs w:val="24"/>
              </w:rPr>
              <w:t>获奖案例（国家级40</w:t>
            </w:r>
            <w:r>
              <w:rPr>
                <w:rFonts w:hint="eastAsia"/>
                <w:color w:val="000000"/>
                <w:sz w:val="24"/>
              </w:rPr>
              <w:t>分/项</w:t>
            </w:r>
            <w:r>
              <w:rPr>
                <w:rFonts w:hint="eastAsia" w:ascii="宋体" w:hAnsi="宋体"/>
                <w:color w:val="000000"/>
                <w:sz w:val="24"/>
                <w:szCs w:val="24"/>
              </w:rPr>
              <w:t>，省级</w:t>
            </w:r>
            <w:r>
              <w:rPr>
                <w:rFonts w:hint="eastAsia" w:ascii="宋体" w:hAnsi="宋体"/>
                <w:color w:val="FF0000"/>
                <w:sz w:val="24"/>
                <w:szCs w:val="24"/>
              </w:rPr>
              <w:t>30</w:t>
            </w:r>
            <w:r>
              <w:rPr>
                <w:rFonts w:hint="eastAsia"/>
                <w:color w:val="000000"/>
                <w:sz w:val="24"/>
              </w:rPr>
              <w:t>分/项</w:t>
            </w:r>
            <w:r>
              <w:rPr>
                <w:rFonts w:hint="eastAsia" w:ascii="宋体" w:hAnsi="宋体"/>
                <w:color w:val="000000"/>
                <w:sz w:val="24"/>
                <w:szCs w:val="24"/>
              </w:rPr>
              <w:t>，市级/校级10</w:t>
            </w:r>
            <w:r>
              <w:rPr>
                <w:rFonts w:hint="eastAsia"/>
                <w:color w:val="000000"/>
                <w:sz w:val="24"/>
              </w:rPr>
              <w:t>分/项</w:t>
            </w:r>
            <w:r>
              <w:rPr>
                <w:rFonts w:hint="eastAsia" w:ascii="宋体" w:hAnsi="宋体"/>
                <w:color w:val="000000"/>
                <w:sz w:val="24"/>
                <w:szCs w:val="24"/>
              </w:rPr>
              <w:t>），发明专利</w:t>
            </w:r>
            <w:r>
              <w:rPr>
                <w:rFonts w:hint="eastAsia"/>
                <w:color w:val="FF0000"/>
                <w:sz w:val="24"/>
                <w:szCs w:val="24"/>
              </w:rPr>
              <w:t>25</w:t>
            </w:r>
            <w:r>
              <w:rPr>
                <w:rFonts w:hint="eastAsia" w:ascii="宋体" w:hAnsi="宋体"/>
                <w:color w:val="000000"/>
                <w:sz w:val="24"/>
                <w:szCs w:val="24"/>
              </w:rPr>
              <w:t>分，国家实用新型专利</w:t>
            </w:r>
            <w:r>
              <w:rPr>
                <w:rFonts w:hint="eastAsia"/>
                <w:color w:val="FF0000"/>
                <w:sz w:val="24"/>
                <w:szCs w:val="24"/>
              </w:rPr>
              <w:t>8</w:t>
            </w:r>
            <w:r>
              <w:rPr>
                <w:rFonts w:hint="eastAsia" w:ascii="宋体" w:hAnsi="宋体"/>
                <w:color w:val="000000"/>
                <w:sz w:val="24"/>
                <w:szCs w:val="24"/>
              </w:rPr>
              <w:t>分。</w:t>
            </w:r>
          </w:p>
        </w:tc>
        <w:tc>
          <w:tcPr>
            <w:tcW w:w="486" w:type="pct"/>
            <w:noWrap w:val="0"/>
            <w:vAlign w:val="top"/>
          </w:tcPr>
          <w:p w14:paraId="4B511885">
            <w:pPr>
              <w:adjustRightInd w:val="0"/>
              <w:snapToGrid w:val="0"/>
              <w:ind w:left="330"/>
              <w:jc w:val="center"/>
              <w:rPr>
                <w:rFonts w:hint="eastAsia" w:ascii="仿宋_GB2312" w:eastAsia="仿宋_GB2312"/>
                <w:color w:val="000000"/>
              </w:rPr>
            </w:pPr>
          </w:p>
        </w:tc>
      </w:tr>
      <w:tr w14:paraId="123969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03" w:hRule="atLeast"/>
        </w:trPr>
        <w:tc>
          <w:tcPr>
            <w:tcW w:w="691" w:type="pct"/>
            <w:vMerge w:val="continue"/>
            <w:noWrap w:val="0"/>
            <w:vAlign w:val="center"/>
          </w:tcPr>
          <w:p w14:paraId="45AF1D67">
            <w:pPr>
              <w:spacing w:before="0" w:line="240" w:lineRule="auto"/>
              <w:ind w:left="330"/>
              <w:jc w:val="left"/>
              <w:rPr>
                <w:rFonts w:hint="eastAsia"/>
                <w:color w:val="000000"/>
                <w:sz w:val="24"/>
              </w:rPr>
            </w:pPr>
          </w:p>
        </w:tc>
        <w:tc>
          <w:tcPr>
            <w:tcW w:w="3821" w:type="pct"/>
            <w:gridSpan w:val="4"/>
            <w:noWrap w:val="0"/>
            <w:vAlign w:val="top"/>
          </w:tcPr>
          <w:p w14:paraId="6267B6FA">
            <w:pPr>
              <w:spacing w:before="0" w:line="240" w:lineRule="auto"/>
              <w:ind w:left="0" w:leftChars="0" w:right="0"/>
              <w:rPr>
                <w:rFonts w:hint="eastAsia"/>
                <w:b/>
                <w:color w:val="000000"/>
                <w:sz w:val="24"/>
              </w:rPr>
            </w:pPr>
            <w:r>
              <w:rPr>
                <w:rFonts w:hint="eastAsia"/>
                <w:b/>
                <w:color w:val="000000"/>
                <w:sz w:val="24"/>
              </w:rPr>
              <w:t>6. 教科研获奖</w:t>
            </w:r>
          </w:p>
          <w:p w14:paraId="5BFA8AAD">
            <w:pPr>
              <w:spacing w:before="0" w:line="240" w:lineRule="auto"/>
              <w:ind w:left="0" w:leftChars="0" w:right="0"/>
              <w:rPr>
                <w:rFonts w:hint="eastAsia"/>
                <w:b/>
                <w:color w:val="000000"/>
                <w:sz w:val="24"/>
              </w:rPr>
            </w:pPr>
            <w:r>
              <w:rPr>
                <w:rFonts w:hint="eastAsia" w:ascii="宋体" w:hAnsi="宋体" w:cs="宋体"/>
                <w:color w:val="000000"/>
                <w:kern w:val="0"/>
                <w:sz w:val="24"/>
              </w:rPr>
              <w:t>每获一类、二类、三类奖励1次，分别计100分、80分、60分。</w:t>
            </w:r>
          </w:p>
        </w:tc>
        <w:tc>
          <w:tcPr>
            <w:tcW w:w="486" w:type="pct"/>
            <w:noWrap w:val="0"/>
            <w:vAlign w:val="top"/>
          </w:tcPr>
          <w:p w14:paraId="638FD826">
            <w:pPr>
              <w:adjustRightInd w:val="0"/>
              <w:snapToGrid w:val="0"/>
              <w:ind w:left="330"/>
              <w:jc w:val="center"/>
              <w:rPr>
                <w:rFonts w:hint="eastAsia" w:ascii="仿宋_GB2312" w:eastAsia="仿宋_GB2312"/>
                <w:color w:val="000000"/>
              </w:rPr>
            </w:pPr>
          </w:p>
        </w:tc>
      </w:tr>
      <w:tr w14:paraId="67743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18" w:hRule="atLeast"/>
        </w:trPr>
        <w:tc>
          <w:tcPr>
            <w:tcW w:w="691" w:type="pct"/>
            <w:vMerge w:val="continue"/>
            <w:noWrap w:val="0"/>
            <w:vAlign w:val="center"/>
          </w:tcPr>
          <w:p w14:paraId="36AEC930">
            <w:pPr>
              <w:spacing w:before="0" w:line="240" w:lineRule="auto"/>
              <w:ind w:left="330"/>
              <w:jc w:val="left"/>
              <w:rPr>
                <w:rFonts w:hint="eastAsia"/>
                <w:color w:val="000000"/>
                <w:sz w:val="24"/>
              </w:rPr>
            </w:pPr>
          </w:p>
        </w:tc>
        <w:tc>
          <w:tcPr>
            <w:tcW w:w="3821" w:type="pct"/>
            <w:gridSpan w:val="4"/>
            <w:noWrap w:val="0"/>
            <w:vAlign w:val="top"/>
          </w:tcPr>
          <w:p w14:paraId="0862A3B2">
            <w:pPr>
              <w:spacing w:before="0" w:line="240" w:lineRule="auto"/>
              <w:ind w:left="0" w:leftChars="0" w:right="0"/>
              <w:rPr>
                <w:rFonts w:hint="eastAsia"/>
                <w:b/>
                <w:sz w:val="24"/>
              </w:rPr>
            </w:pPr>
            <w:r>
              <w:rPr>
                <w:rFonts w:hint="eastAsia"/>
                <w:b/>
                <w:sz w:val="24"/>
              </w:rPr>
              <w:t>7、出版著作和教材</w:t>
            </w:r>
          </w:p>
          <w:p w14:paraId="292A96FA">
            <w:pPr>
              <w:spacing w:before="0" w:line="240" w:lineRule="auto"/>
              <w:ind w:left="0" w:leftChars="0" w:right="0"/>
              <w:rPr>
                <w:rFonts w:hint="eastAsia"/>
                <w:b/>
                <w:sz w:val="24"/>
              </w:rPr>
            </w:pPr>
            <w:r>
              <w:rPr>
                <w:sz w:val="24"/>
              </w:rPr>
              <w:t>参加撰写</w:t>
            </w:r>
            <w:r>
              <w:rPr>
                <w:rFonts w:hint="eastAsia"/>
                <w:sz w:val="24"/>
              </w:rPr>
              <w:t>1万-5万字的</w:t>
            </w:r>
            <w:r>
              <w:rPr>
                <w:sz w:val="24"/>
              </w:rPr>
              <w:t>学术</w:t>
            </w:r>
            <w:r>
              <w:rPr>
                <w:rFonts w:hint="eastAsia"/>
                <w:sz w:val="24"/>
              </w:rPr>
              <w:t>出版物3分/项，</w:t>
            </w:r>
            <w:r>
              <w:rPr>
                <w:sz w:val="24"/>
              </w:rPr>
              <w:t>参加撰写</w:t>
            </w:r>
            <w:r>
              <w:rPr>
                <w:rFonts w:hint="eastAsia"/>
                <w:sz w:val="24"/>
              </w:rPr>
              <w:t>5万字以上的</w:t>
            </w:r>
            <w:r>
              <w:rPr>
                <w:sz w:val="24"/>
              </w:rPr>
              <w:t>学术</w:t>
            </w:r>
            <w:r>
              <w:rPr>
                <w:rFonts w:hint="eastAsia"/>
                <w:sz w:val="24"/>
              </w:rPr>
              <w:t>出版物8分/项（需提供证明材料）</w:t>
            </w:r>
          </w:p>
        </w:tc>
        <w:tc>
          <w:tcPr>
            <w:tcW w:w="486" w:type="pct"/>
            <w:noWrap w:val="0"/>
            <w:vAlign w:val="top"/>
          </w:tcPr>
          <w:p w14:paraId="1F323972">
            <w:pPr>
              <w:adjustRightInd w:val="0"/>
              <w:snapToGrid w:val="0"/>
              <w:ind w:left="330"/>
              <w:jc w:val="center"/>
              <w:rPr>
                <w:rFonts w:hint="eastAsia" w:ascii="仿宋_GB2312" w:eastAsia="仿宋_GB2312"/>
                <w:color w:val="000000"/>
              </w:rPr>
            </w:pPr>
          </w:p>
        </w:tc>
      </w:tr>
      <w:tr w14:paraId="3F3A1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52" w:hRule="atLeast"/>
        </w:trPr>
        <w:tc>
          <w:tcPr>
            <w:tcW w:w="691" w:type="pct"/>
            <w:vMerge w:val="continue"/>
            <w:noWrap w:val="0"/>
            <w:vAlign w:val="center"/>
          </w:tcPr>
          <w:p w14:paraId="2DB2A755">
            <w:pPr>
              <w:spacing w:before="0" w:line="240" w:lineRule="auto"/>
              <w:ind w:left="330"/>
              <w:jc w:val="left"/>
              <w:rPr>
                <w:rFonts w:hint="eastAsia"/>
                <w:color w:val="000000"/>
                <w:sz w:val="24"/>
              </w:rPr>
            </w:pPr>
          </w:p>
        </w:tc>
        <w:tc>
          <w:tcPr>
            <w:tcW w:w="3821" w:type="pct"/>
            <w:gridSpan w:val="4"/>
            <w:noWrap w:val="0"/>
            <w:vAlign w:val="top"/>
          </w:tcPr>
          <w:p w14:paraId="53310619">
            <w:pPr>
              <w:spacing w:before="0" w:line="240" w:lineRule="auto"/>
              <w:ind w:left="0" w:leftChars="0" w:right="0"/>
              <w:rPr>
                <w:rFonts w:hint="eastAsia"/>
                <w:sz w:val="24"/>
              </w:rPr>
            </w:pPr>
            <w:r>
              <w:rPr>
                <w:rFonts w:hint="eastAsia"/>
                <w:b/>
                <w:sz w:val="24"/>
              </w:rPr>
              <w:t>8、</w:t>
            </w:r>
            <w:r>
              <w:rPr>
                <w:rFonts w:hint="eastAsia"/>
                <w:b/>
                <w:bCs/>
                <w:sz w:val="24"/>
              </w:rPr>
              <w:t>主持教研及科研课题</w:t>
            </w:r>
            <w:r>
              <w:rPr>
                <w:rFonts w:hint="eastAsia"/>
                <w:sz w:val="24"/>
              </w:rPr>
              <w:t>：</w:t>
            </w:r>
          </w:p>
          <w:p w14:paraId="15FD0B11">
            <w:pPr>
              <w:spacing w:before="0" w:line="240" w:lineRule="auto"/>
              <w:ind w:left="0" w:leftChars="0" w:right="0"/>
              <w:rPr>
                <w:sz w:val="24"/>
              </w:rPr>
            </w:pPr>
            <w:r>
              <w:rPr>
                <w:rFonts w:hint="eastAsia"/>
                <w:sz w:val="24"/>
              </w:rPr>
              <w:t>国家级40分/项；省级（重点项目20分/项、其他项目10分/项）</w:t>
            </w:r>
          </w:p>
        </w:tc>
        <w:tc>
          <w:tcPr>
            <w:tcW w:w="486" w:type="pct"/>
            <w:noWrap w:val="0"/>
            <w:vAlign w:val="top"/>
          </w:tcPr>
          <w:p w14:paraId="070CF249">
            <w:pPr>
              <w:adjustRightInd w:val="0"/>
              <w:snapToGrid w:val="0"/>
              <w:ind w:left="330"/>
              <w:jc w:val="center"/>
              <w:rPr>
                <w:rFonts w:hint="eastAsia" w:ascii="仿宋_GB2312" w:eastAsia="仿宋_GB2312"/>
                <w:color w:val="000000"/>
              </w:rPr>
            </w:pPr>
          </w:p>
        </w:tc>
      </w:tr>
      <w:tr w14:paraId="5CE83F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88" w:hRule="atLeast"/>
        </w:trPr>
        <w:tc>
          <w:tcPr>
            <w:tcW w:w="691" w:type="pct"/>
            <w:noWrap w:val="0"/>
            <w:vAlign w:val="center"/>
          </w:tcPr>
          <w:p w14:paraId="5F3A5514">
            <w:pPr>
              <w:pStyle w:val="15"/>
              <w:adjustRightInd w:val="0"/>
              <w:snapToGrid w:val="0"/>
              <w:spacing w:before="0" w:beforeAutospacing="0" w:after="0" w:afterAutospacing="0" w:line="240" w:lineRule="auto"/>
              <w:jc w:val="center"/>
              <w:rPr>
                <w:rFonts w:hint="eastAsia" w:ascii="仿宋_GB2312" w:hAnsi="Times New Roman" w:eastAsia="仿宋_GB2312" w:cs="Times New Roman"/>
                <w:b/>
                <w:bCs/>
                <w:kern w:val="2"/>
                <w:sz w:val="21"/>
                <w:szCs w:val="24"/>
              </w:rPr>
            </w:pPr>
            <w:r>
              <w:rPr>
                <w:rFonts w:hint="eastAsia" w:ascii="宋体" w:hAnsi="宋体" w:eastAsia="宋体" w:cs="Times New Roman"/>
                <w:kern w:val="2"/>
                <w:sz w:val="24"/>
                <w:szCs w:val="24"/>
              </w:rPr>
              <w:t>总分</w:t>
            </w:r>
          </w:p>
        </w:tc>
        <w:tc>
          <w:tcPr>
            <w:tcW w:w="4308" w:type="pct"/>
            <w:gridSpan w:val="5"/>
            <w:noWrap w:val="0"/>
            <w:vAlign w:val="center"/>
          </w:tcPr>
          <w:p w14:paraId="574C23A8">
            <w:pPr>
              <w:pStyle w:val="15"/>
              <w:adjustRightInd w:val="0"/>
              <w:snapToGrid w:val="0"/>
              <w:spacing w:before="0" w:beforeAutospacing="0" w:after="0" w:afterAutospacing="0" w:line="240" w:lineRule="auto"/>
              <w:jc w:val="center"/>
              <w:rPr>
                <w:rFonts w:hint="eastAsia" w:ascii="宋体" w:hAnsi="宋体" w:eastAsia="宋体" w:cs="Times New Roman"/>
                <w:kern w:val="2"/>
                <w:sz w:val="24"/>
                <w:szCs w:val="24"/>
              </w:rPr>
            </w:pPr>
          </w:p>
        </w:tc>
      </w:tr>
    </w:tbl>
    <w:p w14:paraId="4FA2847B">
      <w:pPr>
        <w:adjustRightInd w:val="0"/>
        <w:snapToGrid w:val="0"/>
        <w:spacing w:before="312" w:beforeLines="100" w:after="312" w:afterLines="100"/>
        <w:ind w:left="330"/>
        <w:jc w:val="center"/>
        <w:rPr>
          <w:rFonts w:hint="eastAsia"/>
          <w:b/>
          <w:bCs/>
          <w:sz w:val="32"/>
        </w:rPr>
      </w:pPr>
    </w:p>
    <w:p w14:paraId="2348609B">
      <w:pPr>
        <w:ind w:left="330"/>
        <w:rPr>
          <w:rFonts w:hint="eastAsia"/>
        </w:rPr>
      </w:pPr>
    </w:p>
    <w:p w14:paraId="3905E974">
      <w:pPr>
        <w:ind w:left="330"/>
      </w:pPr>
      <w:r>
        <w:rPr>
          <w:rFonts w:hint="eastAsia"/>
        </w:rPr>
        <w:t>说明：1）论文均为第一作者；论文</w:t>
      </w:r>
      <w:r>
        <w:rPr>
          <w:rFonts w:hint="eastAsia" w:ascii="宋体" w:hAnsi="宋体" w:cs="宋体"/>
          <w:kern w:val="0"/>
          <w:szCs w:val="21"/>
        </w:rPr>
        <w:t>分类以教育厅皖教人秘(2016)1号文件附件表为准；</w:t>
      </w:r>
      <w:r>
        <w:rPr>
          <w:rFonts w:hint="eastAsia"/>
        </w:rPr>
        <w:t>2）教科研奖励均为政府设立的科研奖励，其中的级别均为一等奖。二等奖和三等奖的分值分别按其70%和50%计算；</w:t>
      </w:r>
      <w:r>
        <w:rPr>
          <w:rFonts w:hint="eastAsia"/>
          <w:szCs w:val="21"/>
        </w:rPr>
        <w:t>第一、第二、第三、第四完成人及以后人员分别按100%、50%、30%、10%计分；</w:t>
      </w:r>
      <w:r>
        <w:rPr>
          <w:rFonts w:hint="eastAsia" w:ascii="宋体" w:hAnsi="宋体" w:cs="宋体"/>
          <w:kern w:val="0"/>
          <w:szCs w:val="21"/>
        </w:rPr>
        <w:t>科研奖励分类以教育厅皖教人秘(2016)1号文件附件表3为准；</w:t>
      </w:r>
      <w:r>
        <w:rPr>
          <w:rFonts w:hint="eastAsia"/>
        </w:rPr>
        <w:t>3）</w:t>
      </w:r>
      <w:r>
        <w:rPr>
          <w:rFonts w:hint="eastAsia"/>
          <w:color w:val="FF0000"/>
          <w:szCs w:val="21"/>
        </w:rPr>
        <w:t>案例获奖必须为</w:t>
      </w:r>
      <w:r>
        <w:rPr>
          <w:rFonts w:hint="eastAsia"/>
          <w:color w:val="FF0000"/>
        </w:rPr>
        <w:t>淮北师范大学是第一署名单位，学生排名第一，其中的计分级别为一等奖。二等奖、三等奖及优秀奖的分值分别按其70%、50%及10%计算</w:t>
      </w:r>
      <w:r>
        <w:rPr>
          <w:rFonts w:hint="eastAsia" w:ascii="宋体" w:hAnsi="宋体"/>
          <w:color w:val="000000"/>
          <w:szCs w:val="21"/>
        </w:rPr>
        <w:t>。</w:t>
      </w:r>
      <w:r>
        <w:rPr>
          <w:rFonts w:hint="eastAsia"/>
        </w:rPr>
        <w:t xml:space="preserve">专利指的是第一完成人；4）各指标中的排名指学生排名。5）所有获奖为淮北师范大学是第一署名单位，学生排名第一，其中的级别均为一等奖。二等奖和三等奖的分值分别按其70%和50%计算; </w:t>
      </w:r>
      <w:r>
        <w:rPr>
          <w:rFonts w:hint="eastAsia"/>
          <w:b/>
          <w:color w:val="FF0000"/>
        </w:rPr>
        <w:t>不分等级的获奖或荣誉称号按照一等奖计分。</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30"/>
      </w:pPr>
      <w:r>
        <w:separator/>
      </w:r>
    </w:p>
  </w:endnote>
  <w:endnote w:type="continuationSeparator" w:id="1">
    <w:p>
      <w:pPr>
        <w:spacing w:line="240" w:lineRule="auto"/>
        <w:ind w:left="3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2B2A0">
    <w:pPr>
      <w:pStyle w:val="4"/>
      <w:framePr w:wrap="around" w:vAnchor="text" w:hAnchor="page" w:x="9346" w:y="7"/>
      <w:rPr>
        <w:rStyle w:val="9"/>
        <w:rFonts w:hint="eastAsia" w:ascii="仿宋_GB2312" w:eastAsia="仿宋_GB2312"/>
        <w:b/>
        <w:sz w:val="28"/>
        <w:szCs w:val="28"/>
      </w:rPr>
    </w:pPr>
    <w:r>
      <w:rPr>
        <w:rStyle w:val="9"/>
        <w:rFonts w:hint="eastAsia" w:ascii="仿宋_GB2312" w:eastAsia="仿宋_GB2312"/>
        <w:b/>
        <w:sz w:val="28"/>
        <w:szCs w:val="28"/>
      </w:rPr>
      <w:t>—</w:t>
    </w:r>
    <w:r>
      <w:rPr>
        <w:rStyle w:val="9"/>
        <w:rFonts w:hint="eastAsia" w:ascii="仿宋_GB2312" w:eastAsia="仿宋_GB2312"/>
        <w:b/>
        <w:sz w:val="28"/>
        <w:szCs w:val="28"/>
      </w:rPr>
      <w:fldChar w:fldCharType="begin"/>
    </w:r>
    <w:r>
      <w:rPr>
        <w:rStyle w:val="9"/>
        <w:rFonts w:hint="eastAsia" w:ascii="仿宋_GB2312" w:eastAsia="仿宋_GB2312"/>
        <w:b/>
        <w:sz w:val="28"/>
        <w:szCs w:val="28"/>
      </w:rPr>
      <w:instrText xml:space="preserve">PAGE  </w:instrText>
    </w:r>
    <w:r>
      <w:rPr>
        <w:rStyle w:val="9"/>
        <w:rFonts w:hint="eastAsia" w:ascii="仿宋_GB2312" w:eastAsia="仿宋_GB2312"/>
        <w:b/>
        <w:sz w:val="28"/>
        <w:szCs w:val="28"/>
      </w:rPr>
      <w:fldChar w:fldCharType="separate"/>
    </w:r>
    <w:r>
      <w:rPr>
        <w:rStyle w:val="9"/>
        <w:rFonts w:ascii="仿宋_GB2312" w:eastAsia="仿宋_GB2312"/>
        <w:b/>
        <w:sz w:val="28"/>
        <w:szCs w:val="28"/>
        <w:lang/>
      </w:rPr>
      <w:t>3</w:t>
    </w:r>
    <w:r>
      <w:rPr>
        <w:rStyle w:val="9"/>
        <w:rFonts w:hint="eastAsia" w:ascii="仿宋_GB2312" w:eastAsia="仿宋_GB2312"/>
        <w:b/>
        <w:sz w:val="28"/>
        <w:szCs w:val="28"/>
      </w:rPr>
      <w:fldChar w:fldCharType="end"/>
    </w:r>
    <w:r>
      <w:rPr>
        <w:rStyle w:val="9"/>
        <w:rFonts w:hint="eastAsia" w:ascii="仿宋_GB2312" w:eastAsia="仿宋_GB2312"/>
        <w:b/>
        <w:sz w:val="28"/>
        <w:szCs w:val="28"/>
      </w:rPr>
      <w:t>—</w:t>
    </w:r>
  </w:p>
  <w:p w14:paraId="6D160C80">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5BD86">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3ABB6FDA">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6BC5D">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0" w:lineRule="auto"/>
        <w:ind w:left="330"/>
      </w:pPr>
      <w:r>
        <w:separator/>
      </w:r>
    </w:p>
  </w:footnote>
  <w:footnote w:type="continuationSeparator" w:id="1">
    <w:p>
      <w:pPr>
        <w:spacing w:before="0" w:after="0" w:line="250" w:lineRule="auto"/>
        <w:ind w:left="3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5BAD9">
    <w:pPr>
      <w:ind w:left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2D4D4">
    <w:pPr>
      <w:pStyle w:val="5"/>
      <w:ind w:left="3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2DBB2">
    <w:pPr>
      <w:pStyle w:val="5"/>
      <w:ind w:left="3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YmNjZmFjNDc3MGQ3ZTk2ZjhiMjZlNTAyZTVkZTkifQ=="/>
  </w:docVars>
  <w:rsids>
    <w:rsidRoot w:val="00004FBA"/>
    <w:rsid w:val="00001DC3"/>
    <w:rsid w:val="00004FBA"/>
    <w:rsid w:val="00024F53"/>
    <w:rsid w:val="000544DD"/>
    <w:rsid w:val="00074A5A"/>
    <w:rsid w:val="000809E8"/>
    <w:rsid w:val="00083F1D"/>
    <w:rsid w:val="000D5507"/>
    <w:rsid w:val="001A2577"/>
    <w:rsid w:val="001D492C"/>
    <w:rsid w:val="001E0BD1"/>
    <w:rsid w:val="001F0ECD"/>
    <w:rsid w:val="00234E1E"/>
    <w:rsid w:val="00245FF3"/>
    <w:rsid w:val="00257F30"/>
    <w:rsid w:val="002728DA"/>
    <w:rsid w:val="00273208"/>
    <w:rsid w:val="0029271E"/>
    <w:rsid w:val="002A3E35"/>
    <w:rsid w:val="00302738"/>
    <w:rsid w:val="003027B1"/>
    <w:rsid w:val="00303456"/>
    <w:rsid w:val="00314CE2"/>
    <w:rsid w:val="0031609C"/>
    <w:rsid w:val="00341304"/>
    <w:rsid w:val="003C00BA"/>
    <w:rsid w:val="003D6BE8"/>
    <w:rsid w:val="003E7925"/>
    <w:rsid w:val="0040089D"/>
    <w:rsid w:val="00402784"/>
    <w:rsid w:val="00424492"/>
    <w:rsid w:val="0045514D"/>
    <w:rsid w:val="00476D3E"/>
    <w:rsid w:val="004961A4"/>
    <w:rsid w:val="004D23BC"/>
    <w:rsid w:val="004D5837"/>
    <w:rsid w:val="00545EBA"/>
    <w:rsid w:val="00574525"/>
    <w:rsid w:val="00576544"/>
    <w:rsid w:val="005D496D"/>
    <w:rsid w:val="006019CD"/>
    <w:rsid w:val="006570A4"/>
    <w:rsid w:val="00684E77"/>
    <w:rsid w:val="0069067C"/>
    <w:rsid w:val="006E40FB"/>
    <w:rsid w:val="006E7F7A"/>
    <w:rsid w:val="0071595F"/>
    <w:rsid w:val="00740467"/>
    <w:rsid w:val="0074056E"/>
    <w:rsid w:val="00792F9E"/>
    <w:rsid w:val="007F4824"/>
    <w:rsid w:val="007F64AD"/>
    <w:rsid w:val="00863749"/>
    <w:rsid w:val="00885DF0"/>
    <w:rsid w:val="008A1C6C"/>
    <w:rsid w:val="008B6A25"/>
    <w:rsid w:val="008C0736"/>
    <w:rsid w:val="008C7B8A"/>
    <w:rsid w:val="008D7052"/>
    <w:rsid w:val="00910AB8"/>
    <w:rsid w:val="00937ED3"/>
    <w:rsid w:val="00944105"/>
    <w:rsid w:val="009570A0"/>
    <w:rsid w:val="00A13917"/>
    <w:rsid w:val="00A4516C"/>
    <w:rsid w:val="00A73C7C"/>
    <w:rsid w:val="00AB56E8"/>
    <w:rsid w:val="00AC6B6C"/>
    <w:rsid w:val="00AE23B0"/>
    <w:rsid w:val="00AF2C6D"/>
    <w:rsid w:val="00B06594"/>
    <w:rsid w:val="00B252F3"/>
    <w:rsid w:val="00B42861"/>
    <w:rsid w:val="00B9708A"/>
    <w:rsid w:val="00BA038D"/>
    <w:rsid w:val="00BA29FB"/>
    <w:rsid w:val="00BC59F8"/>
    <w:rsid w:val="00BD1D6C"/>
    <w:rsid w:val="00C14141"/>
    <w:rsid w:val="00C70CE8"/>
    <w:rsid w:val="00C94C87"/>
    <w:rsid w:val="00CA0159"/>
    <w:rsid w:val="00CD676F"/>
    <w:rsid w:val="00CF550E"/>
    <w:rsid w:val="00D56F2C"/>
    <w:rsid w:val="00D5754C"/>
    <w:rsid w:val="00DB338F"/>
    <w:rsid w:val="00DD7202"/>
    <w:rsid w:val="00DF3DFB"/>
    <w:rsid w:val="00E1561B"/>
    <w:rsid w:val="00E5699E"/>
    <w:rsid w:val="00E56ECD"/>
    <w:rsid w:val="00E95113"/>
    <w:rsid w:val="00EB75E6"/>
    <w:rsid w:val="00F33523"/>
    <w:rsid w:val="00FC46DE"/>
    <w:rsid w:val="14A62897"/>
    <w:rsid w:val="159A1C58"/>
    <w:rsid w:val="18467DB7"/>
    <w:rsid w:val="26B84974"/>
    <w:rsid w:val="2DF3590E"/>
    <w:rsid w:val="39C22E50"/>
    <w:rsid w:val="3E985C45"/>
    <w:rsid w:val="3F024043"/>
    <w:rsid w:val="3F4528D0"/>
    <w:rsid w:val="564871B9"/>
    <w:rsid w:val="56FA6CBB"/>
    <w:rsid w:val="593D7633"/>
    <w:rsid w:val="7644655F"/>
    <w:rsid w:val="7C185A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 w:line="250" w:lineRule="auto"/>
      <w:ind w:left="157" w:leftChars="157" w:right="28"/>
      <w:jc w:val="both"/>
    </w:pPr>
    <w:rPr>
      <w:kern w:val="2"/>
      <w:sz w:val="21"/>
      <w:szCs w:val="22"/>
      <w:lang w:val="en-US" w:eastAsia="zh-CN" w:bidi="ar-SA"/>
    </w:rPr>
  </w:style>
  <w:style w:type="paragraph" w:styleId="2">
    <w:name w:val="heading 2"/>
    <w:basedOn w:val="1"/>
    <w:next w:val="1"/>
    <w:link w:val="14"/>
    <w:qFormat/>
    <w:uiPriority w:val="0"/>
    <w:pPr>
      <w:keepNext/>
      <w:keepLines/>
      <w:spacing w:before="260" w:after="260" w:line="416" w:lineRule="auto"/>
      <w:ind w:left="0" w:leftChars="0" w:right="0"/>
      <w:outlineLvl w:val="1"/>
    </w:pPr>
    <w:rPr>
      <w:rFonts w:ascii="Cambria" w:hAnsi="Cambria"/>
      <w:b/>
      <w:bCs/>
      <w:kern w:val="0"/>
      <w:sz w:val="32"/>
      <w:szCs w:val="32"/>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3">
    <w:name w:val="Body Text"/>
    <w:basedOn w:val="1"/>
    <w:link w:val="11"/>
    <w:qFormat/>
    <w:uiPriority w:val="1"/>
    <w:pPr>
      <w:spacing w:before="20" w:line="240" w:lineRule="auto"/>
      <w:ind w:left="120" w:leftChars="0" w:right="0"/>
      <w:jc w:val="left"/>
    </w:pPr>
    <w:rPr>
      <w:rFonts w:ascii="宋体" w:hAnsi="宋体" w:cs="Times New Roman"/>
      <w:kern w:val="0"/>
      <w:szCs w:val="21"/>
      <w:lang w:eastAsia="en-US"/>
    </w:rPr>
  </w:style>
  <w:style w:type="paragraph" w:styleId="4">
    <w:name w:val="footer"/>
    <w:basedOn w:val="1"/>
    <w:link w:val="12"/>
    <w:uiPriority w:val="0"/>
    <w:pPr>
      <w:tabs>
        <w:tab w:val="center" w:pos="4153"/>
        <w:tab w:val="right" w:pos="8306"/>
      </w:tabs>
      <w:snapToGrid w:val="0"/>
      <w:spacing w:before="0" w:line="240" w:lineRule="auto"/>
      <w:ind w:left="0" w:leftChars="0" w:right="0"/>
      <w:jc w:val="left"/>
    </w:pPr>
    <w:rPr>
      <w:rFonts w:ascii="Times New Roman" w:hAnsi="Times New Roman" w:eastAsia="宋体" w:cs="Times New Roman"/>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uiPriority w:val="0"/>
    <w:pPr>
      <w:widowControl/>
      <w:spacing w:before="100" w:beforeAutospacing="1" w:after="100" w:afterAutospacing="1" w:line="240" w:lineRule="auto"/>
      <w:ind w:left="0" w:leftChars="0" w:right="0"/>
      <w:jc w:val="left"/>
    </w:pPr>
    <w:rPr>
      <w:rFonts w:ascii="宋体" w:hAnsi="宋体" w:eastAsia="宋体" w:cs="宋体"/>
      <w:kern w:val="0"/>
      <w:sz w:val="24"/>
      <w:szCs w:val="24"/>
    </w:rPr>
  </w:style>
  <w:style w:type="character" w:styleId="9">
    <w:name w:val="page number"/>
    <w:uiPriority w:val="0"/>
  </w:style>
  <w:style w:type="character" w:customStyle="1" w:styleId="10">
    <w:name w:val="标题 2 Char1"/>
    <w:link w:val="2"/>
    <w:uiPriority w:val="0"/>
    <w:rPr>
      <w:rFonts w:ascii="Cambria" w:hAnsi="Cambria" w:eastAsia="宋体" w:cs="Times New Roman"/>
      <w:b/>
      <w:bCs/>
      <w:kern w:val="0"/>
      <w:sz w:val="32"/>
      <w:szCs w:val="32"/>
    </w:rPr>
  </w:style>
  <w:style w:type="character" w:customStyle="1" w:styleId="11">
    <w:name w:val="正文文本 Char"/>
    <w:link w:val="3"/>
    <w:uiPriority w:val="1"/>
    <w:rPr>
      <w:rFonts w:ascii="宋体" w:hAnsi="宋体" w:cs="Times New Roman"/>
      <w:sz w:val="21"/>
      <w:szCs w:val="21"/>
      <w:lang w:eastAsia="en-US"/>
    </w:rPr>
  </w:style>
  <w:style w:type="character" w:customStyle="1" w:styleId="12">
    <w:name w:val="页脚 Char"/>
    <w:link w:val="4"/>
    <w:uiPriority w:val="0"/>
    <w:rPr>
      <w:rFonts w:ascii="Times New Roman" w:hAnsi="Times New Roman" w:eastAsia="宋体" w:cs="Times New Roman"/>
      <w:sz w:val="18"/>
      <w:szCs w:val="18"/>
    </w:rPr>
  </w:style>
  <w:style w:type="character" w:customStyle="1" w:styleId="13">
    <w:name w:val="页眉 Char"/>
    <w:link w:val="5"/>
    <w:semiHidden/>
    <w:uiPriority w:val="99"/>
    <w:rPr>
      <w:kern w:val="2"/>
      <w:sz w:val="18"/>
      <w:szCs w:val="18"/>
    </w:rPr>
  </w:style>
  <w:style w:type="character" w:customStyle="1" w:styleId="14">
    <w:name w:val="标题 2 Char"/>
    <w:link w:val="2"/>
    <w:semiHidden/>
    <w:uiPriority w:val="9"/>
    <w:rPr>
      <w:rFonts w:ascii="Cambria" w:hAnsi="Cambria" w:eastAsia="宋体" w:cs="Times New Roman"/>
      <w:b/>
      <w:bCs/>
      <w:sz w:val="32"/>
      <w:szCs w:val="32"/>
    </w:rPr>
  </w:style>
  <w:style w:type="paragraph" w:customStyle="1" w:styleId="15">
    <w:name w:val="text"/>
    <w:basedOn w:val="1"/>
    <w:uiPriority w:val="0"/>
    <w:pPr>
      <w:widowControl/>
      <w:spacing w:before="100" w:beforeAutospacing="1" w:after="100" w:afterAutospacing="1" w:line="320" w:lineRule="atLeast"/>
      <w:ind w:left="0" w:leftChars="0" w:right="0"/>
      <w:jc w:val="left"/>
    </w:pPr>
    <w:rPr>
      <w:rFonts w:ascii="Arial Unicode MS" w:hAnsi="Arial Unicode MS"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3226</Words>
  <Characters>3250</Characters>
  <Lines>32</Lines>
  <Paragraphs>9</Paragraphs>
  <TotalTime>0</TotalTime>
  <ScaleCrop>false</ScaleCrop>
  <LinksUpToDate>false</LinksUpToDate>
  <CharactersWithSpaces>3361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2025-09-17T05:11:00Z</dcterms:created>
  <dc:creator>Administrator</dc:creator>
  <cp:lastModifiedBy>明明就</cp:lastModifiedBy>
  <cp:lastPrinted>2021-09-15T08:43:00Z</cp:lastPrinted>
  <dcterms:modified xsi:type="dcterms:W3CDTF">2025-09-17T09:40:57Z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6B5D5A5D82704807B3439FC5B4323A47_13</vt:lpwstr>
  </property>
  <property fmtid="{D5CDD505-2E9C-101B-9397-08002B2CF9AE}" pid="4" name="KSOTemplateDocerSaveRecord">
    <vt:lpwstr>eyJoZGlkIjoiNWIxNjQxMTY3OWM5NDgwZTI0ZmZmM2Y1OTRjNjRkNDgiLCJ1c2VySWQiOiI3MTQyODgzMzUifQ==</vt:lpwstr>
  </property>
</Properties>
</file>